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60CD3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</w:p>
    <w:p w14:paraId="113BC776" w14:textId="759AC182" w:rsidR="00877433" w:rsidRPr="00877433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FB6418" wp14:editId="69D042AC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FAC12" w14:textId="77777777" w:rsidR="00877433" w:rsidRPr="00877433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14:paraId="1A58FCD7" w14:textId="77777777" w:rsidR="00877433" w:rsidRPr="00877433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896D3" w14:textId="77777777" w:rsidR="00877433" w:rsidRPr="00877433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Жуковский район</w:t>
      </w:r>
    </w:p>
    <w:p w14:paraId="0FEF0AE0" w14:textId="77777777" w:rsidR="00877433" w:rsidRPr="00877433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80EE44" w14:textId="77777777" w:rsidR="00877433" w:rsidRPr="00877433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D419E10" w14:textId="77777777" w:rsidR="00877433" w:rsidRPr="00877433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«Город </w:t>
      </w:r>
      <w:proofErr w:type="spellStart"/>
      <w:r w:rsidRPr="0087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Кременки</w:t>
      </w:r>
      <w:proofErr w:type="spellEnd"/>
      <w:r w:rsidRPr="0087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959B336" w14:textId="77777777" w:rsidR="00877433" w:rsidRPr="00877433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3D11EF" w14:textId="77777777" w:rsidR="00877433" w:rsidRPr="00877433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CFE9030" w14:textId="77777777" w:rsidR="00877433" w:rsidRDefault="00877433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E53EF" w14:textId="77777777" w:rsidR="00877433" w:rsidRDefault="00877433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BFAB0" w14:textId="3C53063E" w:rsidR="00E249B6" w:rsidRDefault="00EF729E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EB9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и налоговой политик</w:t>
      </w:r>
      <w:r w:rsidR="006D05CD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ГП</w:t>
      </w:r>
      <w:r w:rsidR="008549EE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</w:t>
      </w:r>
      <w:proofErr w:type="spellStart"/>
      <w:r w:rsidR="008549EE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8549EE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6E032A" w14:textId="794D0D1F" w:rsidR="000F2EB9" w:rsidRPr="00132C15" w:rsidRDefault="00241FDC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AA79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A79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A79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0F2EB9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F7C4D55" w14:textId="77777777" w:rsidR="000F2EB9" w:rsidRPr="00132C15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F7F15" w14:textId="77777777" w:rsidR="00192981" w:rsidRPr="00794683" w:rsidRDefault="00192981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4B85A" w14:textId="1819EE67" w:rsidR="00E249B6" w:rsidRPr="00E249B6" w:rsidRDefault="00794683" w:rsidP="00E24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B17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EF729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17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F7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B17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9B6" w:rsidRP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2023г.                              </w:t>
      </w:r>
      <w:r w:rsidR="00B17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249B6" w:rsidRP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249B6" w:rsidRPr="00E24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B1D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112</w:t>
      </w:r>
      <w:r w:rsidR="00E249B6" w:rsidRPr="00E249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</w:p>
    <w:p w14:paraId="41FDAB0C" w14:textId="77777777" w:rsidR="00E249B6" w:rsidRPr="000A2A95" w:rsidRDefault="00E249B6" w:rsidP="00E249B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F689D" w14:textId="6CD6179C"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400E826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063724C2" w14:textId="77777777" w:rsidR="002F32A8" w:rsidRPr="005E5267" w:rsidRDefault="002F32A8" w:rsidP="002F32A8">
      <w:pPr>
        <w:widowControl w:val="0"/>
        <w:autoSpaceDE w:val="0"/>
        <w:autoSpaceDN w:val="0"/>
        <w:spacing w:after="0" w:line="360" w:lineRule="auto"/>
        <w:rPr>
          <w:rFonts w:ascii="Calibri" w:eastAsia="Times New Roman" w:hAnsi="Calibri" w:cs="Calibri"/>
          <w:szCs w:val="20"/>
          <w:lang w:eastAsia="ru-RU"/>
        </w:rPr>
      </w:pPr>
    </w:p>
    <w:p w14:paraId="41D6DCDC" w14:textId="11ABDFB9" w:rsidR="00241FDC" w:rsidRDefault="00A721F2" w:rsidP="002F32A8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</w:t>
      </w:r>
      <w:r w:rsidR="00167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со статьями 172, 184.2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статьей 2  Решения Городской Думы «Об утверждении положения о бюджетном процессе в МО ГП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16.03.2017г. № 12 (с изменениями) </w:t>
      </w:r>
      <w:r w:rsidR="0094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поселения «Город </w:t>
      </w:r>
      <w:proofErr w:type="spellStart"/>
      <w:r w:rsidR="009472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9472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ПОСТАНОВЛЯЕТ:</w:t>
      </w:r>
    </w:p>
    <w:p w14:paraId="6AE3C2B4" w14:textId="77777777" w:rsidR="009472D1" w:rsidRPr="00241FDC" w:rsidRDefault="009472D1" w:rsidP="002F32A8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16AFA" w14:textId="77777777" w:rsidR="000A2A95" w:rsidRPr="000A2A95" w:rsidRDefault="000A2A95" w:rsidP="002F32A8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1CEC4" w14:textId="2295E24D" w:rsidR="000A2A95" w:rsidRPr="000A2A95" w:rsidRDefault="000A2A95" w:rsidP="002F32A8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основные направления бюджетной и налоговой политик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 ГП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</w:t>
      </w:r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43254" w:rsidRPr="007432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к настоящему постановлению.</w:t>
      </w:r>
    </w:p>
    <w:p w14:paraId="5BE78A7B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88053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FE2B8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97C45" w14:textId="77777777" w:rsid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DC28A" w14:textId="77777777" w:rsidR="002F32A8" w:rsidRDefault="002F32A8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CF5E9" w14:textId="77777777" w:rsidR="002F32A8" w:rsidRDefault="002F32A8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2B3F3" w14:textId="77777777" w:rsidR="002F32A8" w:rsidRDefault="002F32A8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E55FB" w14:textId="77777777" w:rsidR="002F32A8" w:rsidRDefault="002F32A8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55CD2" w14:textId="77777777" w:rsidR="002F32A8" w:rsidRPr="000A2A95" w:rsidRDefault="002F32A8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308D5" w14:textId="6B3E048E" w:rsidR="000A2A95" w:rsidRPr="000A2A95" w:rsidRDefault="00EF729E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</w:t>
      </w:r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Г.Л. Федоров</w:t>
      </w:r>
    </w:p>
    <w:p w14:paraId="1896BC48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1D505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609DE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55674" w14:textId="77777777" w:rsid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F6B2C" w14:textId="77777777" w:rsidR="003006BE" w:rsidRDefault="003006BE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6D124" w14:textId="77777777" w:rsidR="00877433" w:rsidRDefault="00877433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6A793" w14:textId="77777777" w:rsidR="002F32A8" w:rsidRDefault="002F32A8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FA65D" w14:textId="77777777" w:rsidR="00EF729E" w:rsidRDefault="00EF729E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F8B3B" w14:textId="77777777" w:rsidR="000A2A95" w:rsidRPr="000A2A95" w:rsidRDefault="000A2A95" w:rsidP="000A2A9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47D48B4" w14:textId="77777777" w:rsidR="000A2A95" w:rsidRPr="000A2A95" w:rsidRDefault="000A2A95" w:rsidP="000A2A9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555AD4F1" w14:textId="77777777" w:rsidR="000A2A95" w:rsidRPr="000A2A95" w:rsidRDefault="000A2A95" w:rsidP="000A2A9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«Город </w:t>
      </w:r>
      <w:proofErr w:type="spellStart"/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8A7FA32" w14:textId="77777777" w:rsidR="000A2A95" w:rsidRPr="000A2A95" w:rsidRDefault="000A2A95" w:rsidP="000A2A9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35FF11" w14:textId="77777777" w:rsidR="000A2A95" w:rsidRPr="000A2A95" w:rsidRDefault="000A2A95" w:rsidP="000A2A9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бюджетной и налоговой политики</w:t>
      </w:r>
    </w:p>
    <w:p w14:paraId="55872423" w14:textId="2ABB61E5" w:rsidR="000A2A95" w:rsidRPr="000A2A95" w:rsidRDefault="000A2A95" w:rsidP="000A2A9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«Город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на 202</w:t>
      </w:r>
      <w:r w:rsidR="00E24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E24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7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E24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A2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3C824162" w14:textId="77777777" w:rsidR="000A2A95" w:rsidRPr="000A2A95" w:rsidRDefault="000A2A95" w:rsidP="000A2A9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886D8A" w14:textId="41810831" w:rsidR="00E70B21" w:rsidRDefault="006E40E5" w:rsidP="00E249B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и налоговая политика </w:t>
      </w:r>
      <w:r w:rsidR="0062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ГП «Город </w:t>
      </w:r>
      <w:proofErr w:type="spellStart"/>
      <w:r w:rsidR="006255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6255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основные задачи, учитываемые при составлении проекта </w:t>
      </w:r>
      <w:r w:rsidR="006255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на 2023</w:t>
      </w:r>
      <w:r w:rsidRPr="006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>4 и 2025</w:t>
      </w:r>
      <w:r w:rsidRPr="006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и направлена на 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 w:rsidRPr="006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национальных целей развития, определенных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(в</w:t>
      </w:r>
      <w:proofErr w:type="gramEnd"/>
      <w:r w:rsidRPr="006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Указов Президента Российской Федерации от 19.07.2018 № 444, от 21.07.2020 № 474) и 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21.07.2020 № 474 «О национальных целях развития Российской Федерации на период до 2030 года» (далее Указы № 204 и 474), </w:t>
      </w:r>
      <w:r w:rsidRPr="006E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Послании Президента Российской Федерации Федеральному Соб</w:t>
      </w:r>
      <w:r w:rsidR="00E70B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ранию Российской Федерации от 21</w:t>
      </w:r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>.02. 2023</w:t>
      </w:r>
      <w:r w:rsidR="00E7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2D19FE1F" w14:textId="09875797" w:rsidR="005E5267" w:rsidRDefault="00E70B21" w:rsidP="006E40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и налоговой политики муниципального образования городское по</w:t>
      </w:r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селение «Город </w:t>
      </w:r>
      <w:proofErr w:type="spellStart"/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2025 и 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(далее</w:t>
      </w:r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направления)</w:t>
      </w:r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базой для формирования 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на </w:t>
      </w:r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и плановый период 2025 и 2026</w:t>
      </w:r>
      <w:r w:rsidR="003472CE" w:rsidRP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определяют стратегию действий Администрации ГП «Город </w:t>
      </w:r>
      <w:proofErr w:type="spellStart"/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части доходов, расходов бюджета и межбюджетных отношений. </w:t>
      </w:r>
      <w:proofErr w:type="gramEnd"/>
    </w:p>
    <w:p w14:paraId="4981F0CD" w14:textId="00ADD262" w:rsidR="00E70B21" w:rsidRDefault="003472CE" w:rsidP="006E40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Основных направлений является определение условий, используемых при составлении проекта местного бюджета на </w:t>
      </w:r>
      <w:r w:rsidRP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 и плановый период 2025 и 2026</w:t>
      </w:r>
      <w:r w:rsidRP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14:paraId="2AEA04BF" w14:textId="77777777" w:rsidR="003472CE" w:rsidRDefault="003472CE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E8E58" w14:textId="5D6169A1" w:rsidR="000A2A95" w:rsidRPr="00532EA1" w:rsidRDefault="00532EA1" w:rsidP="00532EA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EA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A2A95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задачи бюджетной и налоговой политики </w:t>
      </w:r>
      <w:r w:rsidR="0046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«Город </w:t>
      </w:r>
      <w:proofErr w:type="spellStart"/>
      <w:r w:rsidR="0046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="0046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A2A95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1E23E9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92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23E9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292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E23E9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292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A2A95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2835C392" w14:textId="77777777" w:rsidR="003C348F" w:rsidRPr="003C348F" w:rsidRDefault="003C348F" w:rsidP="003C348F">
      <w:pPr>
        <w:pStyle w:val="a5"/>
        <w:spacing w:after="0" w:line="240" w:lineRule="auto"/>
        <w:ind w:left="20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5206CA" w14:textId="258C2273" w:rsidR="00E821CF" w:rsidRDefault="00E821CF" w:rsidP="00DA396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долгосрочной</w:t>
      </w:r>
      <w:r w:rsidR="000A2A95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сбалансированности и </w:t>
      </w:r>
      <w:r w:rsidR="000A2A95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устойчивости бюджетной системы муниципального образования</w:t>
      </w:r>
      <w:r w:rsidR="006C06FC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базового принципа ответственной бюджетной политики</w:t>
      </w:r>
      <w:r w:rsidR="006C06FC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</w:t>
      </w:r>
      <w:r w:rsidR="000A2A95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="0029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2B1D" w:rsidRPr="00292B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постепенного смещения от антикризисной политики к достижению структурных изменений в экономике с акцентом</w:t>
      </w:r>
      <w:proofErr w:type="gramEnd"/>
      <w:r w:rsidR="00292B1D" w:rsidRPr="0029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технологическое развитие и поддержку инфраструктуры.</w:t>
      </w:r>
      <w:r w:rsidR="000A2A95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9244B7" w14:textId="3C6F5937" w:rsidR="00411CEF" w:rsidRDefault="00E821CF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A2A95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крепление доходной базы местного бюджета муниципального образования </w:t>
      </w:r>
      <w:proofErr w:type="gramStart"/>
      <w:r w:rsidR="00DA39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</w:t>
      </w:r>
      <w:proofErr w:type="gramEnd"/>
      <w:r w:rsidR="000A2A95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наращивания стабильных доходных источников и мобилизации в бюджет имеющихся резервов</w:t>
      </w:r>
      <w:r w:rsidR="00DA396A" w:rsidRPr="00DA396A">
        <w:rPr>
          <w:rFonts w:ascii="Zhikaryov" w:eastAsia="Zhikaryov" w:hAnsi="Zhikaryov" w:cs="Times New Roman"/>
          <w:sz w:val="26"/>
          <w:szCs w:val="26"/>
          <w:lang w:eastAsia="ru-RU"/>
        </w:rPr>
        <w:t xml:space="preserve"> на основе экономического роста, а не за счет повышения налоговой нагрузки на плательщиков</w:t>
      </w:r>
      <w:r w:rsidR="000A2A95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7736BA" w14:textId="40A3B944" w:rsidR="00411CEF" w:rsidRDefault="00624812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езусловное исполнение всех социально значимых обязательств государства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бюджета, направленных на </w:t>
      </w:r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целей и целевых показателей национальных проектов, определенных в</w:t>
      </w:r>
      <w:r w:rsidR="008B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Указами</w:t>
      </w:r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№ 474</w:t>
      </w:r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результатов входящих в их состав региональных и муниципальных проектов;</w:t>
      </w:r>
    </w:p>
    <w:p w14:paraId="1DC4CE72" w14:textId="6248DECD" w:rsidR="00411CEF" w:rsidRDefault="00624812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местными нормативными актами о налогах, пересмотру условий их предоставления;</w:t>
      </w:r>
    </w:p>
    <w:p w14:paraId="152403FC" w14:textId="0AB526BD" w:rsidR="00411CEF" w:rsidRDefault="00624812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инвестиционной активности хозяйствующих субъектов, осуществляющих деятельность на территории муниципального образования</w:t>
      </w:r>
      <w:r w:rsidR="00E53756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 «Город </w:t>
      </w:r>
      <w:proofErr w:type="spellStart"/>
      <w:r w:rsidR="00E53756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E53756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обеспечение стабильных налоговых условий для введения предпринимательской деятельности;</w:t>
      </w:r>
    </w:p>
    <w:p w14:paraId="308453AD" w14:textId="77777777" w:rsidR="0016757A" w:rsidRDefault="00624812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Продолжение реализации</w:t>
      </w:r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механизма инициативного бюджетирования в целях прямого вовлечения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</w:t>
      </w:r>
      <w:proofErr w:type="gramStart"/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и результативностью их использования;</w:t>
      </w:r>
    </w:p>
    <w:p w14:paraId="15166EF5" w14:textId="1BAD74AE" w:rsidR="000A2A95" w:rsidRPr="0016757A" w:rsidRDefault="001450DA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высокого уровня</w:t>
      </w:r>
      <w:r w:rsidR="000A2A95" w:rsidRPr="001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открытости и прозрачности </w:t>
      </w:r>
      <w:r w:rsidRPr="0016757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процесса в городском поселении</w:t>
      </w:r>
      <w:r w:rsidR="008B3C99" w:rsidRPr="008B3C99">
        <w:rPr>
          <w:rFonts w:ascii="Zhikaryov" w:eastAsia="Zhikaryov" w:hAnsi="Zhikaryov" w:cs="Times New Roman"/>
          <w:sz w:val="26"/>
          <w:szCs w:val="26"/>
          <w:lang w:eastAsia="ru-RU"/>
        </w:rPr>
        <w:t xml:space="preserve"> и высокого качества </w:t>
      </w:r>
      <w:r w:rsidR="008B3C99" w:rsidRPr="008B3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местными финансами</w:t>
      </w:r>
      <w:r w:rsidRPr="001675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AB740A" w14:textId="77777777" w:rsidR="000A2A95" w:rsidRDefault="000A2A95" w:rsidP="0016757A">
      <w:pPr>
        <w:spacing w:after="0" w:line="240" w:lineRule="auto"/>
        <w:ind w:left="567" w:hanging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87D0C" w14:textId="77777777" w:rsidR="003C348F" w:rsidRPr="000A2A95" w:rsidRDefault="003C348F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19BD" w14:textId="4FE2B8F9" w:rsidR="00FD31DF" w:rsidRDefault="000A2A95" w:rsidP="00A810A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Основные направления бюджет</w:t>
      </w:r>
      <w:r w:rsid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и налоговой политики </w:t>
      </w:r>
      <w:r w:rsidR="0050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«Город </w:t>
      </w:r>
      <w:proofErr w:type="spellStart"/>
      <w:r w:rsidR="0050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="0050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651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202</w:t>
      </w:r>
      <w:r w:rsidR="00651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651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5AB0D643" w14:textId="77777777" w:rsidR="00FD31DF" w:rsidRPr="001E23E9" w:rsidRDefault="00FD31DF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E0CE81" w14:textId="2CF022DB" w:rsidR="00A31575" w:rsidRDefault="00645420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ф</w:t>
      </w:r>
      <w:r w:rsidR="00FD31DF" w:rsidRPr="00F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реалистичного прогноза поступления доходов с учетом</w:t>
      </w:r>
      <w:r w:rsidR="0099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влияния внешних </w:t>
      </w:r>
      <w:proofErr w:type="spellStart"/>
      <w:r w:rsidR="00A31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санкционных</w:t>
      </w:r>
      <w:proofErr w:type="spellEnd"/>
      <w:r w:rsidR="00A3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 на экономическую ситуацию в городском поселении, в Калужской области</w:t>
      </w:r>
      <w:r w:rsidR="006E35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</w:t>
      </w:r>
      <w:r w:rsidR="0095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в целом;</w:t>
      </w:r>
    </w:p>
    <w:p w14:paraId="74B59977" w14:textId="01C76A96" w:rsidR="00952548" w:rsidRDefault="005522C1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 по увеличению поступлений налоговых и неналоговых доходов, оптимизации расходов и повышению эффективности и</w:t>
      </w:r>
      <w:r w:rsidR="00645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спользования бюджетных средств;</w:t>
      </w:r>
    </w:p>
    <w:p w14:paraId="73024C91" w14:textId="22741B33" w:rsidR="000A2A95" w:rsidRPr="000A2A95" w:rsidRDefault="000A2A95" w:rsidP="00DA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602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</w:t>
      </w: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администрирования</w:t>
      </w:r>
      <w:r w:rsidR="006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бюджетной системы</w:t>
      </w: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достижения объема налоговых поступлений в местный бюджет поселения, соответствующего уровню экономического развития поселения и отраслей производства</w:t>
      </w:r>
      <w:r w:rsid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1ECF"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сопутствующим облегчением административной нагрузки для налогоплательщиков и повышением собираемости налогов</w:t>
      </w: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B38316" w14:textId="765AB5DC" w:rsidR="000A2A95" w:rsidRPr="000A2A95" w:rsidRDefault="000A2A95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14:paraId="568CA060" w14:textId="10FFC02C" w:rsidR="00E53756" w:rsidRDefault="000A2A95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2648" w:rsidRPr="00602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</w:t>
      </w:r>
      <w:r w:rsidR="006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реализации приоритетных для муниципального образования </w:t>
      </w:r>
      <w:r w:rsidR="00E5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«Город </w:t>
      </w:r>
      <w:proofErr w:type="spellStart"/>
      <w:r w:rsidR="00E53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E5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2648" w:rsidRPr="00602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 достижение показателей результативности, устано</w:t>
      </w:r>
      <w:r w:rsidR="00602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 национальными проектами и входящими в их состав</w:t>
      </w:r>
      <w:r w:rsidR="00602648" w:rsidRPr="006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программами; </w:t>
      </w:r>
    </w:p>
    <w:p w14:paraId="5E9BBFBE" w14:textId="444460FE" w:rsidR="00E53756" w:rsidRDefault="00E237FA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F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сохранения на достигнутом уровне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повышения </w:t>
      </w:r>
      <w:proofErr w:type="gramStart"/>
      <w:r w:rsidRPr="00E23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труда отдельных категорий работников бюджетной сферы</w:t>
      </w:r>
      <w:proofErr w:type="gramEnd"/>
      <w:r w:rsidRPr="00E237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4449FE" w14:textId="74A057A3" w:rsidR="00651ECF" w:rsidRPr="00651ECF" w:rsidRDefault="00651ECF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обеспечение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полном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объеме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расходов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повышение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оплаты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труда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отдельных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категорий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работников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бюджетной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сферы</w:t>
      </w:r>
      <w:proofErr w:type="gramEnd"/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связи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увеличением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минимальн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размер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оплаты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ECF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труда</w:t>
      </w:r>
      <w:r w:rsidRPr="00651E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B6F26C" w14:textId="0FFF75B1" w:rsidR="006240B4" w:rsidRDefault="006240B4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 w:rsidRPr="006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приоритизации</w:t>
      </w:r>
      <w:proofErr w:type="spellEnd"/>
      <w:r w:rsidRPr="006240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14:paraId="5652C9E9" w14:textId="1680CC17" w:rsidR="006240B4" w:rsidRDefault="006240B4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r w:rsidR="006E35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6E35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240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80B558" w14:textId="66912E49" w:rsidR="00213616" w:rsidRPr="000A2A95" w:rsidRDefault="00213616" w:rsidP="00DA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обеспечение на местном уровне ряда мероприятий по поддержки участников специальной военной операции и членов их семей;</w:t>
      </w:r>
    </w:p>
    <w:p w14:paraId="7034C1A0" w14:textId="6784CA74" w:rsidR="00CA5B60" w:rsidRDefault="000A2A95" w:rsidP="00DA4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 по формированию современной городской среды;</w:t>
      </w:r>
    </w:p>
    <w:p w14:paraId="5D75994C" w14:textId="77777777" w:rsidR="005D308E" w:rsidRDefault="00CA5B60" w:rsidP="00DA4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финансовой  поддержки </w:t>
      </w:r>
      <w:r w:rsidRPr="00CA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инициативных </w:t>
      </w:r>
      <w:r w:rsidRPr="00CA5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="005D3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активизации участия населения в местном развитии, выявления и  решения приоритетных социальных проблем местного уровня</w:t>
      </w:r>
      <w:r w:rsidR="005D308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привлечения для их решения всех доступных местных ресурсов;</w:t>
      </w:r>
    </w:p>
    <w:p w14:paraId="6DE36CA8" w14:textId="2AB02D2A" w:rsidR="005D308E" w:rsidRDefault="000A2A95" w:rsidP="00DA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механизмов осуществления в</w:t>
      </w:r>
      <w:r w:rsidR="00C876A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нутреннего финансового контроля</w:t>
      </w: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42494C" w14:textId="4002C718" w:rsidR="00AF252E" w:rsidRPr="000A2A95" w:rsidRDefault="000A2A95" w:rsidP="00DA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</w:t>
      </w:r>
      <w:r w:rsidR="006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высокого уровня </w:t>
      </w: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</w:t>
      </w:r>
      <w:r w:rsidR="006240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прозрачности</w:t>
      </w: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публичности процесса управления общественными финансами, гарантирующих</w:t>
      </w:r>
      <w:r w:rsidR="00C8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6A4" w:rsidRPr="00C8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</w:t>
      </w:r>
      <w:r w:rsidR="00C876A4" w:rsidRPr="00C876A4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право</w:t>
      </w:r>
      <w:r w:rsidR="00C876A4" w:rsidRPr="00C8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6A4" w:rsidRPr="00C876A4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</w:t>
      </w:r>
      <w:r w:rsidR="00C876A4" w:rsidRPr="00C8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6A4" w:rsidRPr="00C876A4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доступ</w:t>
      </w:r>
      <w:r w:rsidR="00C876A4" w:rsidRPr="00C8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6A4" w:rsidRPr="00C876A4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</w:t>
      </w:r>
      <w:r w:rsidR="00C876A4" w:rsidRPr="00C8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6A4" w:rsidRPr="00C876A4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открытым</w:t>
      </w:r>
      <w:r w:rsidR="00C876A4" w:rsidRPr="00C8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 </w:t>
      </w:r>
      <w:r w:rsidR="00C876A4" w:rsidRPr="00C876A4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данным</w:t>
      </w:r>
      <w:r w:rsidR="00C876A4" w:rsidRPr="00C8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252E"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рамках размещения финансовой и иной информации о бюджете и бюджетном процессе на официальном сайте Ад</w:t>
      </w:r>
      <w:r w:rsidR="00AF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ГП «Город </w:t>
      </w:r>
      <w:proofErr w:type="spellStart"/>
      <w:r w:rsidR="00AF25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AF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</w:p>
    <w:p w14:paraId="43C15B2E" w14:textId="65349B9A" w:rsidR="00C876A4" w:rsidRDefault="00C876A4" w:rsidP="00DA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ECF77" w14:textId="7152BE36" w:rsidR="000A2A95" w:rsidRDefault="000A2A95" w:rsidP="00DA46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53F091" w14:textId="01AD9F77" w:rsidR="00E8022C" w:rsidRDefault="007D3C4F" w:rsidP="00E8022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основных</w:t>
      </w:r>
      <w:r w:rsidRP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направления бюджет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и налоговой политики </w:t>
      </w:r>
      <w:r w:rsidR="00B80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«Город </w:t>
      </w:r>
      <w:proofErr w:type="spellStart"/>
      <w:r w:rsidR="00B80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="00B80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2024 и на плановый период 2025 и 2026</w:t>
      </w:r>
      <w:r w:rsidR="00E8022C" w:rsidRPr="00E8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="00E8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11C7788" w14:textId="77777777" w:rsidR="00E8022C" w:rsidRDefault="00E8022C" w:rsidP="00E8022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6B2AD6" w14:textId="77777777" w:rsidR="00B505B4" w:rsidRDefault="005E3060" w:rsidP="0001642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проекта </w:t>
      </w:r>
      <w:r w:rsidR="00147C17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местного</w:t>
      </w:r>
      <w:r w:rsidR="00B806D6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 на 2024 год и на плановый период 2025 и 2026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осуществляется исходя из необходимости реализации основных задач - обеспечение долгосрочной устойчивости бюджетной и сбалансированности </w:t>
      </w:r>
      <w:r w:rsidR="00147C17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местного бюджета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обеспечение роста налоговых и неналоговых доходов </w:t>
      </w:r>
      <w:r w:rsidR="00147C17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местного бюджета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с учетом ориентирования на достижение национальных целей развития, </w:t>
      </w:r>
      <w:r w:rsidR="003667A9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также в условиях влияния внешних </w:t>
      </w:r>
      <w:proofErr w:type="spellStart"/>
      <w:r w:rsidR="003667A9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санкционных</w:t>
      </w:r>
      <w:proofErr w:type="spellEnd"/>
      <w:r w:rsidR="003667A9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ограничений на экономическую ситуацию в городском поселении</w:t>
      </w:r>
      <w:proofErr w:type="gramEnd"/>
      <w:r w:rsidR="003667A9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 Калужской области, так и в Российской Федерации в целом.</w:t>
      </w:r>
    </w:p>
    <w:p w14:paraId="27B0D716" w14:textId="6857BC72" w:rsidR="00B505B4" w:rsidRDefault="005E3060" w:rsidP="0001642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Прогн</w:t>
      </w:r>
      <w:r w:rsidR="00C70607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 доходов и расходов местного</w:t>
      </w:r>
      <w:r w:rsidR="0001642F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</w:t>
      </w:r>
      <w:r w:rsidR="006D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джета на 2024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и на плановый период</w:t>
      </w:r>
      <w:r w:rsidR="006D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2025 и 2026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формируется на основе показателей прогноза социально- экономического развития </w:t>
      </w:r>
      <w:r w:rsidR="00C70607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 ГП «Город </w:t>
      </w:r>
      <w:proofErr w:type="spellStart"/>
      <w:r w:rsidR="00C70607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C70607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6D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2024 год и на плановый период 2025 и 2026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годов, а также в соответствии с федеральным и областным бюджетным</w:t>
      </w:r>
      <w:r w:rsidR="006E356C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налоговым законодательством,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проектами федеральных и областных законов по внесению изменений</w:t>
      </w:r>
      <w:proofErr w:type="gramEnd"/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бюджетное и налоговое законодательство.</w:t>
      </w:r>
    </w:p>
    <w:p w14:paraId="5D753989" w14:textId="46383285" w:rsidR="001E41D9" w:rsidRPr="00B505B4" w:rsidRDefault="001E41D9" w:rsidP="0001642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</w:t>
      </w:r>
      <w:r w:rsidR="00C70607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вание расходной части местного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 осуществляется исходя из</w:t>
      </w:r>
      <w:r w:rsidR="0001642F" w:rsidRPr="00B505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необходимости решения задач, достижения целей и целевых показателей национальных проектов, определенных в соотв</w:t>
      </w:r>
      <w:r w:rsidR="00C70607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етствии с Указами №</w:t>
      </w:r>
      <w:r w:rsidR="0001642F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70607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204 и №</w:t>
      </w:r>
      <w:r w:rsidR="0001642F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70607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474, 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также результатов входящих в их состав </w:t>
      </w:r>
      <w:r w:rsidR="00C70607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местных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проектов.</w:t>
      </w:r>
    </w:p>
    <w:p w14:paraId="7D8C69AE" w14:textId="6DC393D2" w:rsidR="001E41D9" w:rsidRPr="001E41D9" w:rsidRDefault="0001642F" w:rsidP="0001642F">
      <w:pPr>
        <w:widowControl w:val="0"/>
        <w:tabs>
          <w:tab w:val="left" w:pos="709"/>
        </w:tabs>
        <w:spacing w:before="100"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="00C70607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Расходная часть местного</w:t>
      </w:r>
      <w:r w:rsidR="006D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 на 2024 год и на плановый период 2025 и 2026</w:t>
      </w:r>
      <w:r w:rsidR="001E41D9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формируется в рамках </w:t>
      </w:r>
      <w:r w:rsidR="00C70607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муниципальных</w:t>
      </w:r>
      <w:r w:rsidR="001E41D9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ГП «Город </w:t>
      </w:r>
      <w:proofErr w:type="spellStart"/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1E41D9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перечень которых утвержден постановлением 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Администрации ГП «</w:t>
      </w:r>
      <w:r w:rsidR="00FD14B1" w:rsidRPr="006B6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Город </w:t>
      </w:r>
      <w:proofErr w:type="spellStart"/>
      <w:r w:rsidR="00FD14B1" w:rsidRPr="006B6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FD14B1" w:rsidRPr="006B6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1E41D9" w:rsidRPr="006B6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r w:rsidR="00FD14B1" w:rsidRPr="006B6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20.09.2021г. № 107-п</w:t>
      </w:r>
      <w:r w:rsidR="001E41D9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14B1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«Об утверждении перечня муниципальных программ ГП «Город  </w:t>
      </w:r>
      <w:proofErr w:type="spellStart"/>
      <w:r w:rsidR="00FD14B1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FD14B1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»»</w:t>
      </w:r>
      <w:r w:rsidR="000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(с изменениями)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мероприятий, которые не вошли в </w:t>
      </w:r>
      <w:r w:rsidR="009A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муниципальные 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</w:t>
      </w:r>
      <w:r w:rsidR="00FD14B1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ГП «Город  </w:t>
      </w:r>
      <w:proofErr w:type="spellStart"/>
      <w:r w:rsidR="00FD14B1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8A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14:paraId="2D134ED9" w14:textId="77777777" w:rsidR="00B505B4" w:rsidRDefault="001E41D9" w:rsidP="00B505B4">
      <w:pPr>
        <w:widowControl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этом в основе формирования проекта 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местного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 должно быть распределение бюджетных ресурсов в прямой зависимости от достижения конкретных результатов, а также сопоставления целей и задач 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местных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проектов с показателями 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муниципальных 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 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F20F755" w14:textId="1253A98D" w:rsidR="00B505B4" w:rsidRPr="00B505B4" w:rsidRDefault="001E41D9" w:rsidP="00B505B4">
      <w:pPr>
        <w:pStyle w:val="a5"/>
        <w:widowControl w:val="0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Расходы, финансирование которых осуществляется за счет целевых межбюджетных трансфертов, предоставляемых из </w:t>
      </w:r>
      <w:r w:rsidR="00FD14B1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областного</w:t>
      </w:r>
      <w:r w:rsidR="000106EA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районного</w:t>
      </w:r>
      <w:r w:rsidR="008A7E17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бюджетов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прогнозируются в о</w:t>
      </w:r>
      <w:r w:rsidR="000106EA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бъемах, п</w:t>
      </w:r>
      <w:r w:rsidR="008A7E17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редусмотренных проектами решений</w:t>
      </w:r>
      <w:r w:rsidR="000106EA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Районного собрания МР «Жуковский район» «О бюджете на 2</w:t>
      </w:r>
      <w:r w:rsidR="009A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024 год и на плановый период 2025 и 2026</w:t>
      </w:r>
      <w:r w:rsidR="000106EA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годов», 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14B1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областного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закон</w:t>
      </w:r>
      <w:r w:rsidR="00FD14B1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«Об областном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</w:t>
      </w:r>
      <w:r w:rsidR="009A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жете на 2024 год и на плановый период 2025 и 2026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годов».</w:t>
      </w:r>
      <w:proofErr w:type="gramEnd"/>
    </w:p>
    <w:p w14:paraId="3502E5C3" w14:textId="77777777" w:rsidR="00B505B4" w:rsidRDefault="001B06DB" w:rsidP="00B505B4">
      <w:pPr>
        <w:pStyle w:val="a5"/>
        <w:widowControl w:val="0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Расчет бюджетных ассигнований на </w:t>
      </w:r>
      <w:proofErr w:type="spellStart"/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софинансирование</w:t>
      </w:r>
      <w:proofErr w:type="spellEnd"/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мероприятий, финансируемых из других бюджетов бюджетной системы Российской Федерации, осуществляется исходя из предельного уровня </w:t>
      </w:r>
      <w:proofErr w:type="spellStart"/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софинансирования</w:t>
      </w:r>
      <w:proofErr w:type="spellEnd"/>
      <w:r w:rsidR="00025D84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расходного обязательства </w:t>
      </w:r>
      <w:r w:rsidR="00025D84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 других бюджетов бюджетной системы Российской Федерации для МО ГП «Город </w:t>
      </w:r>
      <w:proofErr w:type="spellStart"/>
      <w:r w:rsidR="00025D84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025D84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14:paraId="21AFEFFC" w14:textId="7259D443" w:rsidR="00B505B4" w:rsidRDefault="001E41D9" w:rsidP="00B505B4">
      <w:pPr>
        <w:pStyle w:val="a5"/>
        <w:widowControl w:val="0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Условн</w:t>
      </w:r>
      <w:r w:rsidR="009A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утверждаемые расходы на 2025 и 2026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 планируются в соответствии с нормами Бюджетного кодекса Российской Федерации.</w:t>
      </w:r>
    </w:p>
    <w:p w14:paraId="54428990" w14:textId="7B30F0B8" w:rsidR="00144ED7" w:rsidRPr="00B505B4" w:rsidRDefault="00144ED7" w:rsidP="00B505B4">
      <w:pPr>
        <w:pStyle w:val="a5"/>
        <w:widowControl w:val="0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Формирование расходов на оплату труда работников </w:t>
      </w:r>
      <w:r w:rsidR="003E5668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муниципальных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учреждений </w:t>
      </w:r>
      <w:r w:rsidR="003E5668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 ГП «Город </w:t>
      </w:r>
      <w:proofErr w:type="spellStart"/>
      <w:r w:rsidR="003E5668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3E5668"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осуществляется исходя из необходимости обеспечения сохранения на достигнутом уровне целевых показателей, установленных Указами Президента Российской Федерации от 07.05.2012 N 597 "О мероприятиях по реализации государственной социальной политики»</w:t>
      </w:r>
      <w:r w:rsidR="009A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 части повышения оплаты труда отдельных категорий работников бюджетной сферы ежегодно с 1 января 2024-2026 годов</w:t>
      </w:r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с учетом положений</w:t>
      </w:r>
      <w:proofErr w:type="gramEnd"/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Федерального закона "О минимальном </w:t>
      </w:r>
      <w:proofErr w:type="gramStart"/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размере оплаты труда</w:t>
      </w:r>
      <w:proofErr w:type="gramEnd"/>
      <w:r w:rsidRPr="00B5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".</w:t>
      </w:r>
    </w:p>
    <w:p w14:paraId="647EDE2C" w14:textId="77777777" w:rsidR="00144ED7" w:rsidRDefault="00144ED7" w:rsidP="001365AA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83EDC8C" w14:textId="1F8FAFB8" w:rsidR="00144ED7" w:rsidRPr="00144ED7" w:rsidRDefault="00144ED7" w:rsidP="00144ED7">
      <w:pPr>
        <w:widowControl w:val="0"/>
        <w:tabs>
          <w:tab w:val="left" w:pos="567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14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 не менее 30 процентов расходов на реализацию данных мероприятий должно быть обеспечено за счет:</w:t>
      </w:r>
    </w:p>
    <w:p w14:paraId="3E9FAB32" w14:textId="6654D678" w:rsidR="00144ED7" w:rsidRPr="00144ED7" w:rsidRDefault="00144ED7" w:rsidP="00144ED7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внутренних ресурсов, полученных в результате оптимизации структуры и повышения эффективности бюджетных расходов</w:t>
      </w:r>
      <w:r w:rsidR="003E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r w:rsidRPr="0014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545607B3" w14:textId="3434B134" w:rsidR="00144ED7" w:rsidRDefault="00144ED7" w:rsidP="00144ED7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средств от предпринимательской и иной приносящей доход деятельности.</w:t>
      </w:r>
    </w:p>
    <w:p w14:paraId="1A1E5210" w14:textId="77777777" w:rsidR="00144ED7" w:rsidRDefault="00144ED7" w:rsidP="00144ED7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A16CE49" w14:textId="15345B63" w:rsidR="00C85AB9" w:rsidRPr="00C85AB9" w:rsidRDefault="009A75AC" w:rsidP="001365AA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Бюджетные ассигнования на оплату труда отдельных кате</w:t>
      </w:r>
      <w:r w:rsidR="0095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горий работников муниципальных  учреждений муниципального образования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 которых не распространяется действие указов Президента Российско</w:t>
      </w:r>
      <w:r w:rsidR="0095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 Федерации, и на оплату труда муниципальных служащих местного самоуправления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лиц, замещающих </w:t>
      </w:r>
      <w:r w:rsidR="0095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муниципальные должности, 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замещающих должности, не являющиеся должностями </w:t>
      </w:r>
      <w:r w:rsidR="0095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муниципальной 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службы </w:t>
      </w:r>
      <w:r w:rsidR="0095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местного самоуправления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 работников, осуществляющих профессиональную деятельность по должностям служащих и по 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профессиям рабочих, рассчитываются с учетом ежегодной индексации с</w:t>
      </w:r>
      <w:proofErr w:type="gramEnd"/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января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прогнозируемый уровень инфляции, определенн</w:t>
      </w:r>
      <w:r w:rsidR="0013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ый на федеральном 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2024 год и плановый период </w:t>
      </w:r>
      <w:r w:rsidRPr="00F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2025 и 2026 годов.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6F7C7081" w14:textId="7C4F40C1" w:rsidR="001E41D9" w:rsidRPr="00C85AB9" w:rsidRDefault="00C85AB9" w:rsidP="00C85AB9">
      <w:pPr>
        <w:widowControl w:val="0"/>
        <w:tabs>
          <w:tab w:val="left" w:pos="11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="001E41D9" w:rsidRPr="00C8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Субсидии </w:t>
      </w:r>
      <w:r w:rsidR="006A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муниципальным</w:t>
      </w:r>
      <w:r w:rsidR="001E41D9" w:rsidRPr="00C8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учреждениям на иные цели формируются в размере, необходимом для уплаты налогов и других обязательных платежей и расходов, а также в случаях необходимости </w:t>
      </w:r>
      <w:proofErr w:type="spellStart"/>
      <w:r w:rsidR="001E41D9" w:rsidRPr="00C8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софинансирования</w:t>
      </w:r>
      <w:proofErr w:type="spellEnd"/>
      <w:r w:rsidR="001E41D9" w:rsidRPr="00C8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государственных</w:t>
      </w:r>
      <w:r w:rsidR="003D430D" w:rsidRPr="00C8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муниципальных</w:t>
      </w:r>
      <w:r w:rsidR="001E41D9" w:rsidRPr="00C8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 Российской Федерации.</w:t>
      </w:r>
    </w:p>
    <w:p w14:paraId="47F49C50" w14:textId="77777777" w:rsidR="00C85AB9" w:rsidRPr="00C85AB9" w:rsidRDefault="00C85AB9" w:rsidP="00C85AB9">
      <w:pPr>
        <w:pStyle w:val="a5"/>
        <w:widowControl w:val="0"/>
        <w:tabs>
          <w:tab w:val="left" w:pos="1195"/>
        </w:tabs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3F4F735" w14:textId="7431AD6B" w:rsidR="001E41D9" w:rsidRDefault="00C85AB9" w:rsidP="00C85AB9">
      <w:pPr>
        <w:widowControl w:val="0"/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6A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Бюджетные ассигнования на 2024 год и на плановый период 2025 и 2026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</w:t>
      </w:r>
      <w:r w:rsidR="001E41D9" w:rsidRPr="00F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признаны неэффективными.</w:t>
      </w:r>
    </w:p>
    <w:p w14:paraId="58C21E72" w14:textId="77777777" w:rsidR="00C85AB9" w:rsidRDefault="00C85AB9" w:rsidP="00C85AB9">
      <w:pPr>
        <w:widowControl w:val="0"/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A8B20A2" w14:textId="779624B4" w:rsidR="00C85AB9" w:rsidRPr="005B137D" w:rsidRDefault="00C85AB9" w:rsidP="00C85AB9">
      <w:pPr>
        <w:widowControl w:val="0"/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13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Допускается </w:t>
      </w:r>
      <w:proofErr w:type="spellStart"/>
      <w:r w:rsidRPr="005B13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недоведение</w:t>
      </w:r>
      <w:proofErr w:type="spellEnd"/>
      <w:r w:rsidRPr="005B13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бюджетных ассигнований в целях обеспечения сбалансированности </w:t>
      </w:r>
      <w:r w:rsidR="002C3E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местного</w:t>
      </w:r>
      <w:r w:rsidRPr="005B13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бюд</w:t>
      </w:r>
      <w:r w:rsidR="00F07E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жета, за исключением нормативно-</w:t>
      </w:r>
      <w:r w:rsidRPr="005B13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обусловленных расходов, в том числе на сумму переходящих на начало года остатков, имеющих тенденцию образования в динамике.</w:t>
      </w:r>
    </w:p>
    <w:p w14:paraId="7360353F" w14:textId="77777777" w:rsidR="00C85AB9" w:rsidRPr="001E41D9" w:rsidRDefault="00C85AB9" w:rsidP="00C85AB9">
      <w:pPr>
        <w:widowControl w:val="0"/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7BC66EC" w14:textId="4E2E9F25" w:rsidR="001E41D9" w:rsidRPr="00153BF9" w:rsidRDefault="00153BF9" w:rsidP="00153BF9">
      <w:pPr>
        <w:widowControl w:val="0"/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 </w:t>
      </w:r>
      <w:r w:rsidR="001E41D9" w:rsidRPr="0015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14:paraId="778A266E" w14:textId="77777777" w:rsidR="00153BF9" w:rsidRPr="00153BF9" w:rsidRDefault="00153BF9" w:rsidP="00153BF9">
      <w:pPr>
        <w:pStyle w:val="a5"/>
        <w:widowControl w:val="0"/>
        <w:tabs>
          <w:tab w:val="left" w:pos="1100"/>
        </w:tabs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5F16D9E" w14:textId="1EB9E66D" w:rsidR="00F07E6D" w:rsidRPr="00C85AB9" w:rsidRDefault="001E41D9" w:rsidP="00F07E6D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Бюджетные ассигнования на предоставление льгот и социальных выплат отдельным категориям граждан, меры социальной поддержки которых отнесены к полномочиям </w:t>
      </w:r>
      <w:r w:rsidR="00092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местных органов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планируются исходя из численности соответствующей категории граждан и предоставления выплат и льгот в размерах,</w:t>
      </w:r>
      <w:r w:rsidR="00F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проиндексированных ежегодно с 1 февраля в соответствии с прогнозируемым уровнем инфляции, определенн</w:t>
      </w:r>
      <w:r w:rsidR="0051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ым на федеральном </w:t>
      </w:r>
      <w:r w:rsidR="00F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уровне на 2024 год и плановый период </w:t>
      </w:r>
      <w:r w:rsidR="00F07E6D" w:rsidRPr="00F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2025 и 2026 годов.</w:t>
      </w:r>
      <w:r w:rsidR="00F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End"/>
    </w:p>
    <w:p w14:paraId="377A0FCC" w14:textId="32208DEC" w:rsidR="005148AA" w:rsidRPr="001E41D9" w:rsidRDefault="005148AA" w:rsidP="001E41D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9557B34" w14:textId="19733FB6" w:rsidR="001E41D9" w:rsidRPr="0070097B" w:rsidRDefault="005148AA" w:rsidP="005148AA">
      <w:pPr>
        <w:widowControl w:val="0"/>
        <w:tabs>
          <w:tab w:val="left" w:pos="1156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10. </w:t>
      </w:r>
      <w:r w:rsidR="0070097B" w:rsidRPr="0070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Расходы на дорожное хозяйство планируются в соответствии с Законом Калужской области «О Дорожном фонде Калужской области».</w:t>
      </w:r>
    </w:p>
    <w:p w14:paraId="59208E65" w14:textId="77777777" w:rsidR="009B0033" w:rsidRPr="0070097B" w:rsidRDefault="009B0033" w:rsidP="005148AA">
      <w:pPr>
        <w:widowControl w:val="0"/>
        <w:tabs>
          <w:tab w:val="left" w:pos="1156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2F24035" w14:textId="0C9EAD1E" w:rsidR="001E41D9" w:rsidRDefault="009B0033" w:rsidP="009B0033">
      <w:pPr>
        <w:widowControl w:val="0"/>
        <w:tabs>
          <w:tab w:val="left" w:pos="1156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11. 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Бюджетные ассигнования на о</w:t>
      </w:r>
      <w:r w:rsidR="0070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плату коммунальных услуг на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0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 и на плановый период 2025 и 2026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14:paraId="0DD0A5B4" w14:textId="77777777" w:rsidR="00CC0283" w:rsidRPr="001E41D9" w:rsidRDefault="00CC0283" w:rsidP="009B0033">
      <w:pPr>
        <w:widowControl w:val="0"/>
        <w:tabs>
          <w:tab w:val="left" w:pos="1156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8DE846F" w14:textId="1871A43E" w:rsidR="001E41D9" w:rsidRPr="001E41D9" w:rsidRDefault="00CC0283" w:rsidP="00CC0283">
      <w:pPr>
        <w:widowControl w:val="0"/>
        <w:tabs>
          <w:tab w:val="left" w:pos="109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12. 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14:paraId="2D5DDE90" w14:textId="1C90FB3C" w:rsidR="0070097B" w:rsidRPr="0070097B" w:rsidRDefault="001E41D9" w:rsidP="0070097B">
      <w:pPr>
        <w:tabs>
          <w:tab w:val="center" w:pos="494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Кроме того, условия, используемые при составлении проекта </w:t>
      </w:r>
      <w:r w:rsidR="0035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местного</w:t>
      </w:r>
      <w:r w:rsidR="0070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 на 2024 год и на плановый период 2025 и 2026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годов, могут быть скорректированы в соответствии с принятым на федеральном </w:t>
      </w:r>
      <w:r w:rsidR="0035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областном 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уровне механизмом реализации национальных проектов в случае передачи расходных </w:t>
      </w:r>
      <w:proofErr w:type="gramStart"/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полномочий</w:t>
      </w:r>
      <w:proofErr w:type="gramEnd"/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</w:t>
      </w:r>
      <w:r w:rsidR="0070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рганами местного самоуправления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0097B" w:rsidRPr="0070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p w14:paraId="54E9A252" w14:textId="77777777" w:rsidR="0070097B" w:rsidRDefault="0070097B" w:rsidP="001E41D9">
      <w:pPr>
        <w:widowControl w:val="0"/>
        <w:spacing w:after="40" w:line="252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70097B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264"/>
    <w:multiLevelType w:val="multilevel"/>
    <w:tmpl w:val="8FCACA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B15FD"/>
    <w:multiLevelType w:val="hybridMultilevel"/>
    <w:tmpl w:val="7978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707B"/>
    <w:multiLevelType w:val="hybridMultilevel"/>
    <w:tmpl w:val="868AF8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56036"/>
    <w:multiLevelType w:val="multilevel"/>
    <w:tmpl w:val="846EC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5CB6F84"/>
    <w:multiLevelType w:val="hybridMultilevel"/>
    <w:tmpl w:val="CF8E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7600A"/>
    <w:multiLevelType w:val="hybridMultilevel"/>
    <w:tmpl w:val="7A9C417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5BF92D84"/>
    <w:multiLevelType w:val="hybridMultilevel"/>
    <w:tmpl w:val="3CBC43E4"/>
    <w:lvl w:ilvl="0" w:tplc="E3608B7A">
      <w:start w:val="1"/>
      <w:numFmt w:val="upperRoman"/>
      <w:lvlText w:val="%1."/>
      <w:lvlJc w:val="left"/>
      <w:pPr>
        <w:ind w:left="20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4C275BC"/>
    <w:multiLevelType w:val="hybridMultilevel"/>
    <w:tmpl w:val="FD4047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83FA0"/>
    <w:multiLevelType w:val="multilevel"/>
    <w:tmpl w:val="47BC6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106EA"/>
    <w:rsid w:val="0001642F"/>
    <w:rsid w:val="00017D13"/>
    <w:rsid w:val="000229A3"/>
    <w:rsid w:val="00025D84"/>
    <w:rsid w:val="000472EE"/>
    <w:rsid w:val="000617DE"/>
    <w:rsid w:val="0007395C"/>
    <w:rsid w:val="00092E92"/>
    <w:rsid w:val="000A2A95"/>
    <w:rsid w:val="000F2EB9"/>
    <w:rsid w:val="00132C15"/>
    <w:rsid w:val="001365AA"/>
    <w:rsid w:val="00144ED7"/>
    <w:rsid w:val="001450DA"/>
    <w:rsid w:val="00147C17"/>
    <w:rsid w:val="0015029D"/>
    <w:rsid w:val="00153BF9"/>
    <w:rsid w:val="0016757A"/>
    <w:rsid w:val="00167D7B"/>
    <w:rsid w:val="00175C97"/>
    <w:rsid w:val="00192981"/>
    <w:rsid w:val="001B06DB"/>
    <w:rsid w:val="001E23E9"/>
    <w:rsid w:val="001E41D9"/>
    <w:rsid w:val="00207E58"/>
    <w:rsid w:val="00213616"/>
    <w:rsid w:val="00241FDC"/>
    <w:rsid w:val="00291F56"/>
    <w:rsid w:val="00292B1D"/>
    <w:rsid w:val="002C3E89"/>
    <w:rsid w:val="002F32A8"/>
    <w:rsid w:val="003006BE"/>
    <w:rsid w:val="003472CE"/>
    <w:rsid w:val="003546D8"/>
    <w:rsid w:val="003667A9"/>
    <w:rsid w:val="003C348F"/>
    <w:rsid w:val="003D430D"/>
    <w:rsid w:val="003E5668"/>
    <w:rsid w:val="003F700D"/>
    <w:rsid w:val="00411CEF"/>
    <w:rsid w:val="00415428"/>
    <w:rsid w:val="004253A9"/>
    <w:rsid w:val="00435484"/>
    <w:rsid w:val="00445D32"/>
    <w:rsid w:val="004644AB"/>
    <w:rsid w:val="00500B5F"/>
    <w:rsid w:val="00502F33"/>
    <w:rsid w:val="005148AA"/>
    <w:rsid w:val="00521919"/>
    <w:rsid w:val="005303E4"/>
    <w:rsid w:val="00532EA1"/>
    <w:rsid w:val="005406B1"/>
    <w:rsid w:val="005522C1"/>
    <w:rsid w:val="005627FB"/>
    <w:rsid w:val="00577FFC"/>
    <w:rsid w:val="005B137D"/>
    <w:rsid w:val="005C7FD7"/>
    <w:rsid w:val="005D308E"/>
    <w:rsid w:val="005E3060"/>
    <w:rsid w:val="005E5267"/>
    <w:rsid w:val="00602648"/>
    <w:rsid w:val="00613177"/>
    <w:rsid w:val="006240A2"/>
    <w:rsid w:val="006240B4"/>
    <w:rsid w:val="00624812"/>
    <w:rsid w:val="00625502"/>
    <w:rsid w:val="00645420"/>
    <w:rsid w:val="00651ECF"/>
    <w:rsid w:val="006A038E"/>
    <w:rsid w:val="006B6D30"/>
    <w:rsid w:val="006C06FC"/>
    <w:rsid w:val="006D05CD"/>
    <w:rsid w:val="006D39CA"/>
    <w:rsid w:val="006D467C"/>
    <w:rsid w:val="006E356C"/>
    <w:rsid w:val="006E40E5"/>
    <w:rsid w:val="0070097B"/>
    <w:rsid w:val="0070661A"/>
    <w:rsid w:val="00743254"/>
    <w:rsid w:val="00794683"/>
    <w:rsid w:val="007D3C4F"/>
    <w:rsid w:val="007E0E77"/>
    <w:rsid w:val="007E170B"/>
    <w:rsid w:val="007F0189"/>
    <w:rsid w:val="008544F5"/>
    <w:rsid w:val="008549EE"/>
    <w:rsid w:val="00877433"/>
    <w:rsid w:val="008A3433"/>
    <w:rsid w:val="008A7E17"/>
    <w:rsid w:val="008B1D4B"/>
    <w:rsid w:val="008B3C99"/>
    <w:rsid w:val="008C058F"/>
    <w:rsid w:val="008F3A1C"/>
    <w:rsid w:val="00917DF4"/>
    <w:rsid w:val="009472D1"/>
    <w:rsid w:val="00952548"/>
    <w:rsid w:val="00956216"/>
    <w:rsid w:val="009615A2"/>
    <w:rsid w:val="009716A9"/>
    <w:rsid w:val="00990D06"/>
    <w:rsid w:val="009919A1"/>
    <w:rsid w:val="00994BB3"/>
    <w:rsid w:val="009A75AC"/>
    <w:rsid w:val="009B0033"/>
    <w:rsid w:val="009C5A7B"/>
    <w:rsid w:val="00A0063E"/>
    <w:rsid w:val="00A31575"/>
    <w:rsid w:val="00A36ABD"/>
    <w:rsid w:val="00A46C78"/>
    <w:rsid w:val="00A62C5D"/>
    <w:rsid w:val="00A721F2"/>
    <w:rsid w:val="00A7383E"/>
    <w:rsid w:val="00A810AF"/>
    <w:rsid w:val="00A926C6"/>
    <w:rsid w:val="00AA11D5"/>
    <w:rsid w:val="00AA794A"/>
    <w:rsid w:val="00AF252E"/>
    <w:rsid w:val="00B1436C"/>
    <w:rsid w:val="00B174F7"/>
    <w:rsid w:val="00B40BBD"/>
    <w:rsid w:val="00B505B4"/>
    <w:rsid w:val="00B806D6"/>
    <w:rsid w:val="00BA5B22"/>
    <w:rsid w:val="00C43BDE"/>
    <w:rsid w:val="00C70607"/>
    <w:rsid w:val="00C83505"/>
    <w:rsid w:val="00C85AB9"/>
    <w:rsid w:val="00C876A4"/>
    <w:rsid w:val="00CA5B60"/>
    <w:rsid w:val="00CB1CFD"/>
    <w:rsid w:val="00CC0283"/>
    <w:rsid w:val="00D051BE"/>
    <w:rsid w:val="00D353C5"/>
    <w:rsid w:val="00DA396A"/>
    <w:rsid w:val="00DA4676"/>
    <w:rsid w:val="00DA76C7"/>
    <w:rsid w:val="00DB0965"/>
    <w:rsid w:val="00DD04D8"/>
    <w:rsid w:val="00E05C5C"/>
    <w:rsid w:val="00E237FA"/>
    <w:rsid w:val="00E249B6"/>
    <w:rsid w:val="00E261DF"/>
    <w:rsid w:val="00E33514"/>
    <w:rsid w:val="00E4192D"/>
    <w:rsid w:val="00E53756"/>
    <w:rsid w:val="00E70B21"/>
    <w:rsid w:val="00E8022C"/>
    <w:rsid w:val="00E821CF"/>
    <w:rsid w:val="00EA71DD"/>
    <w:rsid w:val="00EB0521"/>
    <w:rsid w:val="00ED7ED4"/>
    <w:rsid w:val="00EE6503"/>
    <w:rsid w:val="00EF729E"/>
    <w:rsid w:val="00F07E6D"/>
    <w:rsid w:val="00F10E13"/>
    <w:rsid w:val="00FD14B1"/>
    <w:rsid w:val="00FD31DF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2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2BF3-FB02-439E-9957-818D6173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2023-10-10T11:57:00Z</cp:lastPrinted>
  <dcterms:created xsi:type="dcterms:W3CDTF">2023-10-16T06:34:00Z</dcterms:created>
  <dcterms:modified xsi:type="dcterms:W3CDTF">2023-10-16T06:34:00Z</dcterms:modified>
</cp:coreProperties>
</file>