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5855" w14:textId="72858B59" w:rsidR="005F3EFD" w:rsidRDefault="005F3EFD" w:rsidP="0076089F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Г</w:t>
      </w:r>
      <w:r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одовой </w:t>
      </w: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отчет</w:t>
      </w:r>
    </w:p>
    <w:p w14:paraId="78189736" w14:textId="7BD0563E" w:rsidR="0075052A" w:rsidRDefault="005F3EFD" w:rsidP="0076089F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 о ходе реализации муниципальных программ и об оценке эффективности реализации муниципальных программ на территории</w:t>
      </w:r>
    </w:p>
    <w:p w14:paraId="5E29F46B" w14:textId="77777777" w:rsidR="0076089F" w:rsidRDefault="005F3EFD" w:rsidP="0076089F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ГП «Город Кремёнки»</w:t>
      </w:r>
      <w:r w:rsidR="0076089F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26DEF85" w14:textId="2655D9CC" w:rsidR="0075052A" w:rsidRPr="00266125" w:rsidRDefault="005F3EFD" w:rsidP="0076089F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за  </w:t>
      </w:r>
      <w:r w:rsidR="0075052A"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 202</w:t>
      </w:r>
      <w:r w:rsidR="00177B87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2</w:t>
      </w:r>
      <w:r w:rsidR="0075052A"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год.</w:t>
      </w:r>
    </w:p>
    <w:p w14:paraId="16460EBC" w14:textId="77777777" w:rsidR="005F3EFD" w:rsidRDefault="005F3EFD" w:rsidP="0075052A">
      <w:pPr>
        <w:spacing w:before="195" w:after="0" w:line="240" w:lineRule="atLeast"/>
        <w:jc w:val="center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</w:pPr>
    </w:p>
    <w:p w14:paraId="2E8AB9BA" w14:textId="6FAB3611" w:rsidR="0075052A" w:rsidRPr="00266125" w:rsidRDefault="0075052A" w:rsidP="0075052A">
      <w:pPr>
        <w:spacing w:before="195" w:after="0" w:line="24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1. ОБЩИЕ СВЕДЕНИЯ</w:t>
      </w:r>
    </w:p>
    <w:p w14:paraId="1B03EA71" w14:textId="0E9F58B7" w:rsidR="0075052A" w:rsidRPr="00266125" w:rsidRDefault="0075052A" w:rsidP="00B435E8">
      <w:pPr>
        <w:spacing w:before="195"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Оценка эффективности реализации муниципальных программ за 202</w:t>
      </w:r>
      <w:r w:rsidR="005F3EF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 проведена в соответствии с требованиями к оценке 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утвержденной  </w:t>
      </w:r>
      <w:r w:rsidR="0076089F" w:rsidRP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Постановление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м </w:t>
      </w:r>
      <w:r w:rsidR="0076089F" w:rsidRP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Главы администрации городского поселения "Г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ород </w:t>
      </w:r>
      <w:r w:rsidR="0076089F" w:rsidRP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Кременки" от 26.11.2013 N 144-п (ред. от 17.04.2017) "Об утверждении Порядка принятия решения о разработке, формирования и реализации муниципальных программ городского поселения "Город Кременки" и Порядка проведения оценки эффективности реализации муниципальных программ городского поселения "Город Кременки"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эффективности реализации муниципальных программ, утвержденными (далее – Порядок).</w:t>
      </w:r>
    </w:p>
    <w:p w14:paraId="21F99AA3" w14:textId="77777777" w:rsidR="0076089F" w:rsidRDefault="0075052A" w:rsidP="00B435E8">
      <w:pPr>
        <w:spacing w:before="195" w:after="0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В соответствии с пунктом 5 Порядка </w:t>
      </w:r>
      <w:r w:rsidR="0076089F" w:rsidRP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Оценка эффективности реализации муниципальной программы (подпрограммы) осуществляется на основе методики оценки эффективности муниципальной программы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конкретные результаты, достигнутые за отчетный период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.</w:t>
      </w:r>
    </w:p>
    <w:p w14:paraId="0BB1561D" w14:textId="3182FB3C" w:rsidR="0075052A" w:rsidRPr="00266125" w:rsidRDefault="0076089F" w:rsidP="00B435E8">
      <w:pPr>
        <w:spacing w:before="195"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Сведения включают </w:t>
      </w:r>
    </w:p>
    <w:p w14:paraId="2D4150E8" w14:textId="77777777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сведения о достижении целевых показателей муниципальной программы;</w:t>
      </w:r>
    </w:p>
    <w:p w14:paraId="3DC9A93E" w14:textId="77777777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перечень выполненных и невыполненных (с указанием причин) мероприятий;</w:t>
      </w:r>
    </w:p>
    <w:p w14:paraId="7C6E795D" w14:textId="77777777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анализ факторов, повлиявших на ход реализации муниципальной программы;</w:t>
      </w:r>
    </w:p>
    <w:p w14:paraId="3532D208" w14:textId="77777777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- данные об использовании бюджетных ассигнований и иных средств на выполнение мероприятий (данные об объемах привлеченных средств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lastRenderedPageBreak/>
        <w:t>федерального бюджета, областного бюджета, местных бюджетов и внебюджетных источников);</w:t>
      </w:r>
    </w:p>
    <w:p w14:paraId="7C0B39EB" w14:textId="6744C0F3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- 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итоговую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оценку эффективности реализации муниципальной программы.</w:t>
      </w:r>
    </w:p>
    <w:p w14:paraId="55B9ED2C" w14:textId="295136A7" w:rsidR="0075052A" w:rsidRPr="00266125" w:rsidRDefault="0075052A" w:rsidP="00B435E8">
      <w:pPr>
        <w:spacing w:before="195" w:after="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В 202</w:t>
      </w:r>
      <w:r w:rsidR="00177B87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году на территории 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ГП «Город Кременки»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реализовывались следующие муниципальные программы:</w:t>
      </w:r>
    </w:p>
    <w:p w14:paraId="41FF6B4F" w14:textId="77777777" w:rsidR="001F37A1" w:rsidRPr="00266125" w:rsidRDefault="0075052A" w:rsidP="00B435E8">
      <w:pPr>
        <w:spacing w:before="195" w:after="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.</w:t>
      </w:r>
    </w:p>
    <w:p w14:paraId="3D708453" w14:textId="6FEBBEB0" w:rsidR="0075052A" w:rsidRPr="0018440A" w:rsidRDefault="0075052A" w:rsidP="00B435E8">
      <w:pPr>
        <w:spacing w:before="195" w:after="0" w:line="360" w:lineRule="auto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</w:p>
    <w:p w14:paraId="20913574" w14:textId="77777777" w:rsidR="0075052A" w:rsidRPr="0018440A" w:rsidRDefault="0075052A" w:rsidP="00B435E8">
      <w:pPr>
        <w:spacing w:before="195" w:after="195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8440A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u w:val="single"/>
          <w:lang w:eastAsia="ru-RU"/>
        </w:rPr>
        <w:t>Финансирование программ</w:t>
      </w:r>
    </w:p>
    <w:p w14:paraId="7DBC59AF" w14:textId="716765C2" w:rsidR="0075052A" w:rsidRPr="00266125" w:rsidRDefault="00060620" w:rsidP="00B435E8">
      <w:pPr>
        <w:spacing w:before="195" w:after="195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Бюджетные ассигнования в 202</w:t>
      </w:r>
      <w:r w:rsid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году бы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ли предусмотрены на реализацию 1</w:t>
      </w:r>
      <w:r w:rsid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5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.</w:t>
      </w:r>
    </w:p>
    <w:p w14:paraId="3DC997C5" w14:textId="46A62E0E" w:rsidR="0075052A" w:rsidRDefault="002A39CD" w:rsidP="00B435E8">
      <w:pPr>
        <w:spacing w:before="195" w:after="0" w:line="360" w:lineRule="auto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2A39CD">
        <w:rPr>
          <w:rFonts w:ascii="Verdana" w:eastAsia="Times New Roman" w:hAnsi="Verdana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A6EB76D" wp14:editId="6E237A40">
            <wp:simplePos x="0" y="0"/>
            <wp:positionH relativeFrom="column">
              <wp:posOffset>-167640</wp:posOffset>
            </wp:positionH>
            <wp:positionV relativeFrom="paragraph">
              <wp:posOffset>1303655</wp:posOffset>
            </wp:positionV>
            <wp:extent cx="6029960" cy="4373245"/>
            <wp:effectExtent l="0" t="0" r="8890" b="8255"/>
            <wp:wrapThrough wrapText="bothSides">
              <wp:wrapPolygon edited="0">
                <wp:start x="0" y="0"/>
                <wp:lineTo x="0" y="21547"/>
                <wp:lineTo x="21564" y="21547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620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Фактически в 202</w:t>
      </w:r>
      <w:r w:rsidR="000E04B4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году из средств бюджета </w:t>
      </w:r>
      <w:r w:rsidR="0018440A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ГП «Город Кремёнки»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профинан</w:t>
      </w:r>
      <w:r w:rsidR="00060620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сировано 1</w:t>
      </w:r>
      <w:r w:rsidR="004A31D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5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муниципальных программ на сумму </w:t>
      </w:r>
      <w:r w:rsidR="0018440A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88,7</w:t>
      </w:r>
      <w:r w:rsidR="0018440A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млн.руб. 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</w:t>
      </w:r>
      <w:r w:rsidR="0018440A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роцент исполнения бюджета по муниципальным программам составил 99%.</w:t>
      </w:r>
      <w:r w:rsidRPr="002A39CD">
        <w:t xml:space="preserve"> </w:t>
      </w:r>
      <w:r w:rsidRP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Финансирование в разрезе муниципальных программ составило :</w:t>
      </w:r>
    </w:p>
    <w:p w14:paraId="4C69865C" w14:textId="087B101C" w:rsidR="002A39CD" w:rsidRDefault="002A39CD" w:rsidP="00B435E8">
      <w:pPr>
        <w:spacing w:before="195" w:after="0" w:line="360" w:lineRule="auto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</w:p>
    <w:p w14:paraId="4A9A7B40" w14:textId="7BA27568" w:rsidR="0018440A" w:rsidRPr="00266125" w:rsidRDefault="0018440A" w:rsidP="00B435E8">
      <w:pPr>
        <w:spacing w:before="195" w:after="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</w:t>
      </w:r>
    </w:p>
    <w:p w14:paraId="79D02A84" w14:textId="77777777" w:rsidR="0075052A" w:rsidRPr="002C5061" w:rsidRDefault="0075052A" w:rsidP="00B435E8">
      <w:pPr>
        <w:spacing w:before="195" w:after="195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C5061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u w:val="single"/>
          <w:lang w:eastAsia="ru-RU"/>
        </w:rPr>
        <w:t>Оценка эффективности программ</w:t>
      </w:r>
    </w:p>
    <w:p w14:paraId="41FC14DF" w14:textId="77777777" w:rsidR="0075052A" w:rsidRPr="00266125" w:rsidRDefault="0075052A" w:rsidP="00B435E8">
      <w:pPr>
        <w:spacing w:before="195" w:after="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14:paraId="7EB97FDB" w14:textId="235F4DEB" w:rsidR="0075052A" w:rsidRPr="00266125" w:rsidRDefault="0075052A" w:rsidP="00B435E8">
      <w:pPr>
        <w:spacing w:before="195" w:after="195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Порядком определены 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3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 категории муниципальных программ с точки зрения эффективности их реализации:</w:t>
      </w:r>
    </w:p>
    <w:p w14:paraId="2D6AF463" w14:textId="301729D0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5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процентов;</w:t>
      </w:r>
    </w:p>
    <w:p w14:paraId="7B2E4F4E" w14:textId="70BED3B3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95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процентов;</w:t>
      </w:r>
    </w:p>
    <w:p w14:paraId="3AA55F45" w14:textId="512B4CAD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эффективность реализации муниципальной программы признается 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не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удовлетворительной, в случае если значение эффективности реализации муниципальной программы составляет 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менее 80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процентов;</w:t>
      </w:r>
    </w:p>
    <w:p w14:paraId="647AC232" w14:textId="77777777" w:rsidR="0075052A" w:rsidRPr="00266125" w:rsidRDefault="0075052A" w:rsidP="00B435E8">
      <w:pPr>
        <w:spacing w:before="195" w:after="195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В целом по итогам отчетного пе</w:t>
      </w:r>
      <w:r w:rsidR="00DE5BAC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риода эффективность реализации      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 программ признана высокой (80% от общего количества).</w:t>
      </w:r>
    </w:p>
    <w:p w14:paraId="5478F5AB" w14:textId="3011E6E1" w:rsidR="0075052A" w:rsidRDefault="0075052A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Сводная информация по результатам оценки эффективности реализации </w:t>
      </w:r>
      <w:r w:rsidR="00DE5BAC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мероприятий, достижения целей и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зада</w:t>
      </w:r>
      <w:r w:rsidR="00DE5BAC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ч муниципальных программ за 202</w:t>
      </w:r>
      <w:r w:rsid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 w:rsidR="007258B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</w:t>
      </w:r>
      <w:r w:rsidR="00C97AE5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 год представлена в Приложении </w:t>
      </w:r>
      <w:r w:rsidR="007258B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«</w:t>
      </w:r>
      <w:r w:rsidR="007258BC" w:rsidRPr="007258B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ОЦЕНКА  ЭФФЕКТИВНОСТИ МУНИЦИПАЛЬНЫХ ПРОГРАММ ГП "ГОРОД КРЕМЁНКИ" за 202</w:t>
      </w:r>
      <w:r w:rsid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 w:rsidR="007258BC" w:rsidRPr="007258B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год.</w:t>
      </w:r>
      <w:r w:rsidR="007258B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»</w:t>
      </w:r>
      <w:r w:rsidR="00C20E8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</w:t>
      </w:r>
    </w:p>
    <w:p w14:paraId="7631F670" w14:textId="0A74C41D" w:rsidR="004A31D1" w:rsidRDefault="00C20E8C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Исходя из проведенного анализа исполнения целевых показаний по каждой программе, учитывая уровень финансового обеспечения и критерии значимости программ</w:t>
      </w:r>
      <w:r w:rsidR="004A31D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в 202</w:t>
      </w:r>
      <w:r w:rsid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 w:rsid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</w:t>
      </w:r>
      <w:r w:rsidR="004A31D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году с высокой степенью эффективности работали 1</w:t>
      </w:r>
      <w:r w:rsid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0</w:t>
      </w:r>
      <w:r w:rsidR="004A31D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муниципальных программ: </w:t>
      </w:r>
    </w:p>
    <w:p w14:paraId="45DEF792" w14:textId="1F589663" w:rsidR="00F16185" w:rsidRDefault="00F16185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Со средней  степенью эффективности в 202</w:t>
      </w:r>
      <w:r w:rsid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году работали </w:t>
      </w:r>
      <w:r w:rsid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5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муниципальных программ</w:t>
      </w:r>
      <w:r w:rsidR="002A39C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.</w:t>
      </w:r>
    </w:p>
    <w:p w14:paraId="14C1E712" w14:textId="4A5C5F39" w:rsidR="00F16185" w:rsidRDefault="002A39CD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lastRenderedPageBreak/>
        <w:t>Р</w:t>
      </w:r>
      <w:r w:rsid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аботающих с  </w:t>
      </w:r>
      <w:r w:rsidR="00F16185" w:rsidRP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неудовлетворительны</w:t>
      </w:r>
      <w:r w:rsid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м </w:t>
      </w:r>
      <w:r w:rsidR="00F16185" w:rsidRP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 уров</w:t>
      </w:r>
      <w:r w:rsid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нем </w:t>
      </w:r>
      <w:r w:rsidR="00F16185" w:rsidRP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эффективности </w:t>
      </w:r>
      <w:r w:rsid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муниципальных программ 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в отчетном году </w:t>
      </w:r>
      <w:r w:rsid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не  было. </w:t>
      </w:r>
    </w:p>
    <w:p w14:paraId="02814963" w14:textId="0FC92FC0" w:rsidR="00F16185" w:rsidRDefault="00F16185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Детальная расшифровка всех целевых показателей и расчет эффективности приведен в </w:t>
      </w:r>
      <w:r w:rsidRPr="00FC7C24">
        <w:rPr>
          <w:rFonts w:ascii="Verdana" w:eastAsia="Times New Roman" w:hAnsi="Verdana" w:cs="Arial"/>
          <w:sz w:val="24"/>
          <w:szCs w:val="24"/>
          <w:lang w:eastAsia="ru-RU"/>
        </w:rPr>
        <w:t>приложении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.  </w:t>
      </w:r>
    </w:p>
    <w:p w14:paraId="1C76F08A" w14:textId="19F69834" w:rsidR="00F46892" w:rsidRDefault="00F46892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</w:p>
    <w:p w14:paraId="2439D3F7" w14:textId="7E8EABEF" w:rsidR="00F46892" w:rsidRPr="00F16185" w:rsidRDefault="00F46892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Заместитель Главы администрации                          Г.Л. Федоров </w:t>
      </w:r>
    </w:p>
    <w:p w14:paraId="43018C77" w14:textId="3F3BDA49" w:rsidR="00C20E8C" w:rsidRDefault="00C20E8C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 </w:t>
      </w:r>
    </w:p>
    <w:p w14:paraId="4CA823A3" w14:textId="77777777" w:rsidR="007258BC" w:rsidRPr="00266125" w:rsidRDefault="007258BC" w:rsidP="00B435E8">
      <w:pPr>
        <w:spacing w:before="195" w:after="195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7258BC" w:rsidRPr="00266125" w:rsidSect="00B435E8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2A"/>
    <w:rsid w:val="00012D14"/>
    <w:rsid w:val="000200B6"/>
    <w:rsid w:val="000402C1"/>
    <w:rsid w:val="00060620"/>
    <w:rsid w:val="00084A73"/>
    <w:rsid w:val="000E04B4"/>
    <w:rsid w:val="00124699"/>
    <w:rsid w:val="00177B87"/>
    <w:rsid w:val="0018440A"/>
    <w:rsid w:val="001A093F"/>
    <w:rsid w:val="001D0805"/>
    <w:rsid w:val="001D1868"/>
    <w:rsid w:val="001D530C"/>
    <w:rsid w:val="001F06DC"/>
    <w:rsid w:val="001F37A1"/>
    <w:rsid w:val="00222F68"/>
    <w:rsid w:val="00224670"/>
    <w:rsid w:val="00266125"/>
    <w:rsid w:val="002A39CD"/>
    <w:rsid w:val="002A6141"/>
    <w:rsid w:val="002C5061"/>
    <w:rsid w:val="00316AC5"/>
    <w:rsid w:val="003303CB"/>
    <w:rsid w:val="003509C6"/>
    <w:rsid w:val="003514CE"/>
    <w:rsid w:val="00371396"/>
    <w:rsid w:val="003A3A38"/>
    <w:rsid w:val="003E6B0A"/>
    <w:rsid w:val="003F4793"/>
    <w:rsid w:val="00447C6B"/>
    <w:rsid w:val="00463C25"/>
    <w:rsid w:val="004976E6"/>
    <w:rsid w:val="004A31D1"/>
    <w:rsid w:val="004E496D"/>
    <w:rsid w:val="004E5F72"/>
    <w:rsid w:val="004F0B50"/>
    <w:rsid w:val="00565326"/>
    <w:rsid w:val="00572A1C"/>
    <w:rsid w:val="005D4446"/>
    <w:rsid w:val="005F3EFD"/>
    <w:rsid w:val="00634702"/>
    <w:rsid w:val="0067400D"/>
    <w:rsid w:val="00681DFE"/>
    <w:rsid w:val="006C7D37"/>
    <w:rsid w:val="006D4EB6"/>
    <w:rsid w:val="00725622"/>
    <w:rsid w:val="007258BC"/>
    <w:rsid w:val="00735A72"/>
    <w:rsid w:val="0075052A"/>
    <w:rsid w:val="0076089F"/>
    <w:rsid w:val="007A7239"/>
    <w:rsid w:val="007C7FB9"/>
    <w:rsid w:val="00841024"/>
    <w:rsid w:val="008422E5"/>
    <w:rsid w:val="009228D8"/>
    <w:rsid w:val="00A41A7D"/>
    <w:rsid w:val="00A6117B"/>
    <w:rsid w:val="00AF417C"/>
    <w:rsid w:val="00B053E8"/>
    <w:rsid w:val="00B116B8"/>
    <w:rsid w:val="00B30971"/>
    <w:rsid w:val="00B41999"/>
    <w:rsid w:val="00B435E8"/>
    <w:rsid w:val="00B52F19"/>
    <w:rsid w:val="00B92AE0"/>
    <w:rsid w:val="00B9445C"/>
    <w:rsid w:val="00BC3F42"/>
    <w:rsid w:val="00BD0113"/>
    <w:rsid w:val="00C20E8C"/>
    <w:rsid w:val="00C6274A"/>
    <w:rsid w:val="00C646F8"/>
    <w:rsid w:val="00C771F7"/>
    <w:rsid w:val="00C97AE5"/>
    <w:rsid w:val="00CB0871"/>
    <w:rsid w:val="00CD4419"/>
    <w:rsid w:val="00CE5E80"/>
    <w:rsid w:val="00DD39F1"/>
    <w:rsid w:val="00DE5BAC"/>
    <w:rsid w:val="00E31F14"/>
    <w:rsid w:val="00E32550"/>
    <w:rsid w:val="00E43CCC"/>
    <w:rsid w:val="00E812B6"/>
    <w:rsid w:val="00EA03A6"/>
    <w:rsid w:val="00F07EE9"/>
    <w:rsid w:val="00F16185"/>
    <w:rsid w:val="00F46892"/>
    <w:rsid w:val="00FC1575"/>
    <w:rsid w:val="00F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93D5"/>
  <w15:chartTrackingRefBased/>
  <w15:docId w15:val="{004A5AB4-54E9-49C8-A8D3-028E9778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435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35E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43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5F73-6C2C-4B24-AFDE-FA826067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Fedorov</cp:lastModifiedBy>
  <cp:revision>3</cp:revision>
  <cp:lastPrinted>2022-01-28T06:51:00Z</cp:lastPrinted>
  <dcterms:created xsi:type="dcterms:W3CDTF">2024-06-21T09:32:00Z</dcterms:created>
  <dcterms:modified xsi:type="dcterms:W3CDTF">2024-06-21T09:32:00Z</dcterms:modified>
</cp:coreProperties>
</file>