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5855" w14:textId="72858B59" w:rsidR="005F3EFD" w:rsidRDefault="005F3EFD" w:rsidP="0076089F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Г</w:t>
      </w:r>
      <w:r w:rsidRPr="00266125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одовой </w:t>
      </w: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отчет</w:t>
      </w:r>
    </w:p>
    <w:p w14:paraId="78189736" w14:textId="7BD0563E" w:rsidR="0075052A" w:rsidRDefault="005F3EFD" w:rsidP="0076089F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 о ходе реализации муниципальных программ и об оценке эффективности реализации муниципальных программ на территории</w:t>
      </w:r>
    </w:p>
    <w:p w14:paraId="5E29F46B" w14:textId="77777777" w:rsidR="0076089F" w:rsidRDefault="005F3EFD" w:rsidP="0076089F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ГП «Город Кремёнки»</w:t>
      </w:r>
      <w:r w:rsidR="0076089F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626DEF85" w14:textId="0693EF0F" w:rsidR="0075052A" w:rsidRPr="00266125" w:rsidRDefault="005F3EFD" w:rsidP="0076089F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за  </w:t>
      </w:r>
      <w:r w:rsidR="0075052A" w:rsidRPr="00266125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 202</w:t>
      </w:r>
      <w:r w:rsidR="0018440A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3</w:t>
      </w:r>
      <w:r w:rsidR="0075052A" w:rsidRPr="00266125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год.</w:t>
      </w:r>
    </w:p>
    <w:p w14:paraId="16460EBC" w14:textId="77777777" w:rsidR="005F3EFD" w:rsidRDefault="005F3EFD" w:rsidP="0075052A">
      <w:pPr>
        <w:spacing w:before="195" w:after="0" w:line="240" w:lineRule="atLeast"/>
        <w:jc w:val="center"/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</w:pPr>
    </w:p>
    <w:p w14:paraId="2E8AB9BA" w14:textId="6FAB3611" w:rsidR="0075052A" w:rsidRPr="00266125" w:rsidRDefault="0075052A" w:rsidP="0075052A">
      <w:pPr>
        <w:spacing w:before="195" w:after="0" w:line="24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ru-RU"/>
        </w:rPr>
        <w:t>1. ОБЩИЕ СВЕДЕНИЯ</w:t>
      </w:r>
    </w:p>
    <w:p w14:paraId="1B03EA71" w14:textId="0E9F58B7" w:rsidR="0075052A" w:rsidRPr="00266125" w:rsidRDefault="0075052A" w:rsidP="00B435E8">
      <w:pPr>
        <w:spacing w:before="195"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Оценка эффективности реализации муниципальных программ за 202</w:t>
      </w:r>
      <w:r w:rsidR="005F3EFD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2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год проведена в соответствии с требованиями к оценке 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утвержденной  </w:t>
      </w:r>
      <w:r w:rsidR="0076089F" w:rsidRP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Постановление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м </w:t>
      </w:r>
      <w:r w:rsidR="0076089F" w:rsidRP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Главы администрации городского поселения "Г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ород </w:t>
      </w:r>
      <w:r w:rsidR="0076089F" w:rsidRP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Кременки" от 26.11.2013 N 144-п (ред. от 17.04.2017) "Об утверждении Порядка принятия решения о разработке, формирования и реализации муниципальных программ городского поселения "Город Кременки" и Порядка проведения оценки эффективности реализации муниципальных программ городского поселения "Город Кременки"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эффективности реализации муниципальных программ, утвержденными (далее – Порядок).</w:t>
      </w:r>
    </w:p>
    <w:p w14:paraId="21F99AA3" w14:textId="77777777" w:rsidR="0076089F" w:rsidRDefault="0075052A" w:rsidP="00B435E8">
      <w:pPr>
        <w:spacing w:before="195" w:after="0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В соответствии с пунктом 5 Порядка </w:t>
      </w:r>
      <w:r w:rsidR="0076089F" w:rsidRP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Оценка эффективности реализации муниципальной программы (подпрограммы) осуществляется на основе методики оценки эффективности муниципальной программы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конкретные результаты, достигнутые за отчетный период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.</w:t>
      </w:r>
    </w:p>
    <w:p w14:paraId="0BB1561D" w14:textId="3182FB3C" w:rsidR="0075052A" w:rsidRPr="00266125" w:rsidRDefault="0076089F" w:rsidP="00B435E8">
      <w:pPr>
        <w:spacing w:before="195" w:after="0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Сведения включают </w:t>
      </w:r>
    </w:p>
    <w:p w14:paraId="2D4150E8" w14:textId="77777777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сведения о достижении целевых показателей муниципальной программы;</w:t>
      </w:r>
    </w:p>
    <w:p w14:paraId="3DC9A93E" w14:textId="77777777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перечень выполненных и невыполненных (с указанием причин) мероприятий;</w:t>
      </w:r>
    </w:p>
    <w:p w14:paraId="7C6E795D" w14:textId="77777777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анализ факторов, повлиявших на ход реализации муниципальной программы;</w:t>
      </w:r>
    </w:p>
    <w:p w14:paraId="3532D208" w14:textId="77777777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- данные об использовании бюджетных ассигнований и иных средств на выполнение мероприятий (данные об объемах привлеченных средств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lastRenderedPageBreak/>
        <w:t>федерального бюджета, областного бюджета, местных бюджетов и внебюджетных источников);</w:t>
      </w:r>
    </w:p>
    <w:p w14:paraId="7C0B39EB" w14:textId="6744C0F3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- 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итоговую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оценку эффективности реализации муниципальной программы.</w:t>
      </w:r>
    </w:p>
    <w:p w14:paraId="55B9ED2C" w14:textId="7FF7F368" w:rsidR="0075052A" w:rsidRPr="00266125" w:rsidRDefault="0075052A" w:rsidP="00B435E8">
      <w:pPr>
        <w:spacing w:before="195" w:after="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В 202</w:t>
      </w:r>
      <w:r w:rsidR="0018440A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3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году на территории </w:t>
      </w:r>
      <w:r w:rsidR="0076089F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ГП «Город Кременки»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реализовывались следующие муниципальные программы:</w:t>
      </w:r>
    </w:p>
    <w:p w14:paraId="41FF6B4F" w14:textId="77777777" w:rsidR="001F37A1" w:rsidRPr="00266125" w:rsidRDefault="0075052A" w:rsidP="00B435E8">
      <w:pPr>
        <w:spacing w:before="195" w:after="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.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640"/>
        <w:gridCol w:w="8989"/>
      </w:tblGrid>
      <w:tr w:rsidR="0018440A" w:rsidRPr="0018440A" w14:paraId="43CEFA4A" w14:textId="77777777" w:rsidTr="0018440A">
        <w:trPr>
          <w:trHeight w:val="63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9BD3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DD98" w14:textId="035F3EA5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целевых программ </w:t>
            </w:r>
          </w:p>
        </w:tc>
      </w:tr>
      <w:tr w:rsidR="0018440A" w:rsidRPr="0018440A" w14:paraId="74D13712" w14:textId="77777777" w:rsidTr="0018440A">
        <w:trPr>
          <w:trHeight w:val="63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D0CE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6C92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"Кадровая политика городского поселения "Город Кременки""</w:t>
            </w:r>
          </w:p>
        </w:tc>
      </w:tr>
      <w:tr w:rsidR="0018440A" w:rsidRPr="0018440A" w14:paraId="44612AD4" w14:textId="77777777" w:rsidTr="0018440A">
        <w:trPr>
          <w:trHeight w:val="63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B3E3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D92A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"Совершенствование системы управления общественными финансами городского поселения "Город Кременки""</w:t>
            </w:r>
          </w:p>
        </w:tc>
      </w:tr>
      <w:tr w:rsidR="0018440A" w:rsidRPr="0018440A" w14:paraId="5A7833D7" w14:textId="77777777" w:rsidTr="0018440A">
        <w:trPr>
          <w:trHeight w:val="63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E546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9B99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 "Безопасность жизнедеятельности на территории городского поселения "Город Кременки""</w:t>
            </w:r>
          </w:p>
        </w:tc>
      </w:tr>
      <w:tr w:rsidR="0018440A" w:rsidRPr="0018440A" w14:paraId="3D470ED6" w14:textId="77777777" w:rsidTr="0018440A">
        <w:trPr>
          <w:trHeight w:val="68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9A143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5F3A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"Развитие дорожного хозяйства ГП "Город Кременки"" </w:t>
            </w:r>
          </w:p>
        </w:tc>
      </w:tr>
      <w:tr w:rsidR="0018440A" w:rsidRPr="0018440A" w14:paraId="4F9861B9" w14:textId="77777777" w:rsidTr="0018440A">
        <w:trPr>
          <w:trHeight w:val="68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EC39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47A9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"Управление имущественным комплексом ГП "Город Кременки" </w:t>
            </w:r>
          </w:p>
        </w:tc>
      </w:tr>
      <w:tr w:rsidR="0018440A" w:rsidRPr="0018440A" w14:paraId="672B16BF" w14:textId="77777777" w:rsidTr="0018440A">
        <w:trPr>
          <w:trHeight w:val="68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C841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3B7B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"Формирование современной городской среды" </w:t>
            </w:r>
          </w:p>
        </w:tc>
      </w:tr>
      <w:tr w:rsidR="0018440A" w:rsidRPr="0018440A" w14:paraId="66F97220" w14:textId="77777777" w:rsidTr="0018440A">
        <w:trPr>
          <w:trHeight w:val="10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7E1E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31D8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"Обеспечение доступным и комфортным жильем и коммунальными услугами населения города Кременки"" </w:t>
            </w:r>
          </w:p>
        </w:tc>
      </w:tr>
      <w:tr w:rsidR="0018440A" w:rsidRPr="0018440A" w14:paraId="34D785E7" w14:textId="77777777" w:rsidTr="0018440A">
        <w:trPr>
          <w:trHeight w:val="68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34C8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9980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"Энергосбережение и повышение энергоэффективности ГП "Города Кременки"" </w:t>
            </w:r>
          </w:p>
        </w:tc>
      </w:tr>
      <w:tr w:rsidR="0018440A" w:rsidRPr="0018440A" w14:paraId="30818EE0" w14:textId="77777777" w:rsidTr="0018440A">
        <w:trPr>
          <w:trHeight w:val="63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C59C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D194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 программа "Благоустройство территории ГП "Город Кременки""</w:t>
            </w:r>
          </w:p>
        </w:tc>
      </w:tr>
      <w:tr w:rsidR="0018440A" w:rsidRPr="0018440A" w14:paraId="2DFA248D" w14:textId="77777777" w:rsidTr="0018440A">
        <w:trPr>
          <w:trHeight w:val="68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ED94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4E8A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"Социальная поддержка граждан ГП "Город  Кременки"" </w:t>
            </w:r>
          </w:p>
        </w:tc>
      </w:tr>
      <w:tr w:rsidR="0018440A" w:rsidRPr="0018440A" w14:paraId="2F944611" w14:textId="77777777" w:rsidTr="0018440A">
        <w:trPr>
          <w:trHeight w:val="63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902EC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FF70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«Развитие физической культуры и спорта ГП «Город Кременки» </w:t>
            </w:r>
          </w:p>
        </w:tc>
      </w:tr>
      <w:tr w:rsidR="0018440A" w:rsidRPr="0018440A" w14:paraId="24F8EC2D" w14:textId="77777777" w:rsidTr="0018440A">
        <w:trPr>
          <w:trHeight w:val="68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C0FB" w14:textId="77777777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4FF9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«Развитие культуры городского поселения "Город Кременки" </w:t>
            </w:r>
          </w:p>
        </w:tc>
      </w:tr>
      <w:tr w:rsidR="0018440A" w:rsidRPr="0018440A" w14:paraId="5C713B44" w14:textId="77777777" w:rsidTr="0018440A">
        <w:trPr>
          <w:trHeight w:val="10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523C" w14:textId="409EC874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8440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CA79" w14:textId="77777777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«Совершенствование системы управления общественными финансами городского поселения «Город Кременки»» </w:t>
            </w:r>
          </w:p>
        </w:tc>
      </w:tr>
      <w:tr w:rsidR="0018440A" w:rsidRPr="0018440A" w14:paraId="562FCC0A" w14:textId="77777777" w:rsidTr="0018440A">
        <w:trPr>
          <w:trHeight w:val="34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DFDE" w14:textId="1EDF4658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8440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2BC0" w14:textId="1B66BFBA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3514CE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униципальная программа </w:t>
            </w: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 "Развитие рынка труда"</w:t>
            </w:r>
          </w:p>
        </w:tc>
      </w:tr>
      <w:tr w:rsidR="0018440A" w:rsidRPr="0018440A" w14:paraId="518DC99E" w14:textId="77777777" w:rsidTr="0018440A">
        <w:trPr>
          <w:trHeight w:val="68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76D3" w14:textId="18F9D6AD" w:rsidR="0018440A" w:rsidRPr="001F37A1" w:rsidRDefault="0018440A" w:rsidP="00B435E8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8440A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324D" w14:textId="29656ECF" w:rsidR="0018440A" w:rsidRPr="001F37A1" w:rsidRDefault="0018440A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«</w:t>
            </w:r>
            <w:r w:rsidR="003514CE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Патриотическое воспитание населения г.Кременки</w:t>
            </w:r>
            <w:r w:rsidRPr="001F37A1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14:paraId="3D708453" w14:textId="6FEBBEB0" w:rsidR="0075052A" w:rsidRPr="0018440A" w:rsidRDefault="0075052A" w:rsidP="00B435E8">
      <w:pPr>
        <w:spacing w:before="195" w:after="0" w:line="360" w:lineRule="auto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</w:p>
    <w:p w14:paraId="20913574" w14:textId="77777777" w:rsidR="0075052A" w:rsidRPr="0018440A" w:rsidRDefault="0075052A" w:rsidP="00B435E8">
      <w:pPr>
        <w:spacing w:before="195" w:after="195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8440A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u w:val="single"/>
          <w:lang w:eastAsia="ru-RU"/>
        </w:rPr>
        <w:t>Финансирование программ</w:t>
      </w:r>
    </w:p>
    <w:p w14:paraId="7DBC59AF" w14:textId="611DC134" w:rsidR="0075052A" w:rsidRPr="00266125" w:rsidRDefault="00060620" w:rsidP="00B435E8">
      <w:pPr>
        <w:spacing w:before="195" w:after="195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Бюджетные ассигнования в 202</w:t>
      </w:r>
      <w:r w:rsidR="0018440A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3</w:t>
      </w:r>
      <w:r w:rsidR="0075052A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году бы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ли предусмотрены на реализацию 1</w:t>
      </w:r>
      <w:r w:rsidR="00C20E8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4</w:t>
      </w:r>
      <w:r w:rsidR="0075052A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.</w:t>
      </w:r>
    </w:p>
    <w:p w14:paraId="3DC997C5" w14:textId="30E385AC" w:rsidR="0075052A" w:rsidRDefault="00060620" w:rsidP="00B435E8">
      <w:pPr>
        <w:spacing w:before="195" w:after="0" w:line="360" w:lineRule="auto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Фактически в 202</w:t>
      </w:r>
      <w:r w:rsidR="0018440A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3</w:t>
      </w:r>
      <w:r w:rsidR="0075052A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году из средств бюджета </w:t>
      </w:r>
      <w:r w:rsidR="0018440A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ГП «Город Кремёнки»</w:t>
      </w:r>
      <w:r w:rsidR="0075052A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профинан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сировано 1</w:t>
      </w:r>
      <w:r w:rsidR="004A31D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5</w:t>
      </w:r>
      <w:r w:rsidR="0075052A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муниципальных программ на сумму </w:t>
      </w:r>
      <w:r w:rsidR="0018440A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91,4 млн.руб. при общих расходах бюджета 92,4 млн.руб. Таким образом процент исполнения бюджета по муниципальным программам составил 98,9 %.</w:t>
      </w:r>
    </w:p>
    <w:p w14:paraId="17378FE0" w14:textId="227F0288" w:rsidR="0018440A" w:rsidRDefault="0018440A" w:rsidP="00B435E8">
      <w:pPr>
        <w:spacing w:before="195" w:after="0" w:line="360" w:lineRule="auto"/>
        <w:ind w:firstLine="567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18440A">
        <w:rPr>
          <w:rFonts w:ascii="Verdana" w:eastAsia="Times New Roman" w:hAnsi="Verdana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BAC7A93" wp14:editId="5C411AF4">
            <wp:simplePos x="0" y="0"/>
            <wp:positionH relativeFrom="margin">
              <wp:posOffset>-541020</wp:posOffset>
            </wp:positionH>
            <wp:positionV relativeFrom="paragraph">
              <wp:posOffset>433705</wp:posOffset>
            </wp:positionV>
            <wp:extent cx="6499860" cy="4030980"/>
            <wp:effectExtent l="0" t="0" r="15240" b="7620"/>
            <wp:wrapThrough wrapText="bothSides">
              <wp:wrapPolygon edited="0">
                <wp:start x="0" y="0"/>
                <wp:lineTo x="0" y="21539"/>
                <wp:lineTo x="21587" y="21539"/>
                <wp:lineTo x="21587" y="0"/>
                <wp:lineTo x="0" y="0"/>
              </wp:wrapPolygon>
            </wp:wrapThrough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941C651-0CF9-4CC6-9F11-E46AB665B2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Финансирование в разрезе муниципальных программ составило :</w:t>
      </w:r>
    </w:p>
    <w:p w14:paraId="4A9A7B40" w14:textId="7BA27568" w:rsidR="0018440A" w:rsidRPr="00266125" w:rsidRDefault="0018440A" w:rsidP="00B435E8">
      <w:pPr>
        <w:spacing w:before="195" w:after="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lastRenderedPageBreak/>
        <w:t xml:space="preserve"> </w:t>
      </w:r>
    </w:p>
    <w:p w14:paraId="79D02A84" w14:textId="77777777" w:rsidR="0075052A" w:rsidRPr="002C5061" w:rsidRDefault="0075052A" w:rsidP="00B435E8">
      <w:pPr>
        <w:spacing w:before="195" w:after="195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2C5061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u w:val="single"/>
          <w:lang w:eastAsia="ru-RU"/>
        </w:rPr>
        <w:t>Оценка эффективности программ</w:t>
      </w:r>
    </w:p>
    <w:p w14:paraId="41FC14DF" w14:textId="77777777" w:rsidR="0075052A" w:rsidRPr="00266125" w:rsidRDefault="0075052A" w:rsidP="00B435E8">
      <w:pPr>
        <w:spacing w:before="195" w:after="0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В настоящем отчете приведены обобщенные данные по результатам анализа оценки эффективности, проведенной исполнителями муниципальных программ.</w:t>
      </w:r>
    </w:p>
    <w:p w14:paraId="7EB97FDB" w14:textId="235F4DEB" w:rsidR="0075052A" w:rsidRPr="00266125" w:rsidRDefault="0075052A" w:rsidP="00B435E8">
      <w:pPr>
        <w:spacing w:before="195" w:after="195" w:line="36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Порядком определены </w:t>
      </w:r>
      <w:r w:rsidR="002C506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3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 категории муниципальных программ с точки зрения эффективности их реализации:</w:t>
      </w:r>
    </w:p>
    <w:p w14:paraId="2D6AF463" w14:textId="301729D0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</w:t>
      </w:r>
      <w:r w:rsidR="002C506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5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процентов;</w:t>
      </w:r>
    </w:p>
    <w:p w14:paraId="7B2E4F4E" w14:textId="70BED3B3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</w:t>
      </w:r>
      <w:r w:rsidR="002C506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95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процентов;</w:t>
      </w:r>
    </w:p>
    <w:p w14:paraId="3AA55F45" w14:textId="512B4CAD" w:rsidR="0075052A" w:rsidRPr="00266125" w:rsidRDefault="0075052A" w:rsidP="00B435E8">
      <w:pPr>
        <w:spacing w:before="195" w:after="0" w:line="360" w:lineRule="auto"/>
        <w:ind w:firstLine="53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эффективность реализации муниципальной программы признается </w:t>
      </w:r>
      <w:r w:rsidR="002C506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не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удовлетворительной, в случае если значение эффективности реализации муниципальной программы составляет </w:t>
      </w:r>
      <w:r w:rsidR="002C506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менее 80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процентов;</w:t>
      </w:r>
    </w:p>
    <w:p w14:paraId="647AC232" w14:textId="77777777" w:rsidR="0075052A" w:rsidRPr="00266125" w:rsidRDefault="0075052A" w:rsidP="00B435E8">
      <w:pPr>
        <w:spacing w:before="195" w:after="195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В целом по итогам отчетного пе</w:t>
      </w:r>
      <w:r w:rsidR="00DE5BAC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риода эффективность реализации      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 программ признана высокой (80% от общего количества).</w:t>
      </w:r>
    </w:p>
    <w:p w14:paraId="5478F5AB" w14:textId="2E59B856" w:rsidR="0075052A" w:rsidRDefault="0075052A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Сводная информация по результатам оценки эффективности реализации </w:t>
      </w:r>
      <w:r w:rsidR="00DE5BAC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мероприятий, достижения целей и </w:t>
      </w:r>
      <w:r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зада</w:t>
      </w:r>
      <w:r w:rsidR="00DE5BAC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ч муниципальных программ за 202</w:t>
      </w:r>
      <w:r w:rsidR="007258B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3 </w:t>
      </w:r>
      <w:r w:rsidR="00C97AE5" w:rsidRPr="0026612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 год представлена в Приложении </w:t>
      </w:r>
      <w:r w:rsidR="007258B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«</w:t>
      </w:r>
      <w:r w:rsidR="007258BC" w:rsidRPr="007258B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ОЦЕНКА  ЭФФЕКТИВНОСТИ МУНИЦИПАЛЬНЫХ ПРОГРАММ ГП "ГОРОД КРЕМЁНКИ" за 2023 год.</w:t>
      </w:r>
      <w:r w:rsidR="007258B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»</w:t>
      </w:r>
      <w:r w:rsidR="00C20E8C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</w:t>
      </w:r>
    </w:p>
    <w:p w14:paraId="7631F670" w14:textId="10140BCA" w:rsidR="004A31D1" w:rsidRDefault="00C20E8C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Исходя из проведенного анализа исполнения целевых показаний по каждой программе, учитывая уровень финансового обеспечения и критерии значимости программ</w:t>
      </w:r>
      <w:r w:rsidR="004A31D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в 2023</w:t>
      </w:r>
      <w:r w:rsid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</w:t>
      </w:r>
      <w:r w:rsidR="004A31D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году с высокой степенью эффективности работали 1</w:t>
      </w:r>
      <w:r w:rsid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2</w:t>
      </w:r>
      <w:r w:rsidR="004A31D1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муниципальных программ: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16185" w:rsidRPr="00F16185" w14:paraId="672E57A3" w14:textId="77777777" w:rsidTr="00F16185">
        <w:trPr>
          <w:trHeight w:val="2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99AD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«Совершенствование системы управления общественными финансами городского поселения «Город Кременки»» </w:t>
            </w:r>
          </w:p>
        </w:tc>
      </w:tr>
      <w:tr w:rsidR="00F16185" w:rsidRPr="00F16185" w14:paraId="286123F8" w14:textId="77777777" w:rsidTr="00F16185">
        <w:trPr>
          <w:trHeight w:val="2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0797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Муниципальная программа "Управление имущественным комплексом ГП "Город Кременки"</w:t>
            </w:r>
          </w:p>
        </w:tc>
      </w:tr>
      <w:tr w:rsidR="00F16185" w:rsidRPr="00F16185" w14:paraId="6C266B54" w14:textId="77777777" w:rsidTr="00F16185">
        <w:trPr>
          <w:trHeight w:val="2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9B2A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"Энергосбережение и повышение энергоэффективности  ГП "Город Кременки" </w:t>
            </w:r>
          </w:p>
        </w:tc>
      </w:tr>
      <w:tr w:rsidR="00F16185" w:rsidRPr="00F16185" w14:paraId="5934C45E" w14:textId="77777777" w:rsidTr="00F16185">
        <w:trPr>
          <w:trHeight w:val="2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63E3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"Благоустройство территории городского поселения  "Город Кременки" </w:t>
            </w:r>
          </w:p>
        </w:tc>
      </w:tr>
      <w:tr w:rsidR="00F16185" w:rsidRPr="00F16185" w14:paraId="32D321D4" w14:textId="77777777" w:rsidTr="00F16185">
        <w:trPr>
          <w:trHeight w:val="2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403C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 программа «Развитие культуры городского поселения "Город Кременки"</w:t>
            </w:r>
          </w:p>
        </w:tc>
      </w:tr>
      <w:tr w:rsidR="00F16185" w:rsidRPr="00F16185" w14:paraId="7D0AB3FB" w14:textId="77777777" w:rsidTr="00F16185">
        <w:trPr>
          <w:trHeight w:val="2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5884C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"Формирование современной городской среды" </w:t>
            </w:r>
          </w:p>
        </w:tc>
      </w:tr>
      <w:tr w:rsidR="00F16185" w:rsidRPr="00F16185" w14:paraId="207F99F5" w14:textId="77777777" w:rsidTr="00F16185">
        <w:trPr>
          <w:trHeight w:val="2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A55D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 программа "Социальная поддержка граждан городского поселения "Город Кременки"</w:t>
            </w:r>
          </w:p>
        </w:tc>
      </w:tr>
      <w:tr w:rsidR="00F16185" w:rsidRPr="00F16185" w14:paraId="3459DC2C" w14:textId="77777777" w:rsidTr="00F16185">
        <w:trPr>
          <w:trHeight w:val="2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162E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«Развитие физической культуры и спорта городского поселения «Город Кременки» </w:t>
            </w:r>
          </w:p>
        </w:tc>
      </w:tr>
      <w:tr w:rsidR="00F16185" w:rsidRPr="00F16185" w14:paraId="66C33E70" w14:textId="77777777" w:rsidTr="00F16185">
        <w:trPr>
          <w:trHeight w:val="2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4851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 "Совершенствование системы муниципального управления и создание условий муниципальной службы в ГП "Город Кременки"</w:t>
            </w:r>
          </w:p>
        </w:tc>
      </w:tr>
      <w:tr w:rsidR="00F16185" w:rsidRPr="00F16185" w14:paraId="75B9DE65" w14:textId="77777777" w:rsidTr="00F16185">
        <w:trPr>
          <w:trHeight w:val="2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47FE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МП "Развитие рынка труда в  ГП "Город Кременки"</w:t>
            </w:r>
          </w:p>
        </w:tc>
      </w:tr>
      <w:tr w:rsidR="00F16185" w:rsidRPr="00F16185" w14:paraId="6A90D336" w14:textId="77777777" w:rsidTr="00F16185">
        <w:trPr>
          <w:trHeight w:val="2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C418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 "Патриотическое воспитание  населения г. Кременки"</w:t>
            </w:r>
          </w:p>
        </w:tc>
      </w:tr>
    </w:tbl>
    <w:p w14:paraId="45DEF792" w14:textId="143FA416" w:rsidR="00F16185" w:rsidRDefault="00F16185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Со средней  степенью эффективности в 2023 году работали 3 муниципальных программы: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16185" w:rsidRPr="00F16185" w14:paraId="50E5B207" w14:textId="77777777" w:rsidTr="00F16185">
        <w:trPr>
          <w:trHeight w:val="2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DBB6" w14:textId="542E4D12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 "Безопасность жизнедеятельности на территории городского поселения "Город Кременки"</w:t>
            </w:r>
          </w:p>
        </w:tc>
      </w:tr>
      <w:tr w:rsidR="00F16185" w:rsidRPr="00F16185" w14:paraId="6767C1C1" w14:textId="77777777" w:rsidTr="00F16185">
        <w:trPr>
          <w:trHeight w:val="2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9960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>Муниципальная программа  «Развитие дорожного хозяйства  ГП «Город Кремёнки»</w:t>
            </w:r>
          </w:p>
        </w:tc>
      </w:tr>
      <w:tr w:rsidR="00F16185" w:rsidRPr="00F16185" w14:paraId="761F35D8" w14:textId="77777777" w:rsidTr="00F16185">
        <w:trPr>
          <w:trHeight w:val="2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E6B4" w14:textId="77777777" w:rsidR="00F16185" w:rsidRPr="00F16185" w:rsidRDefault="00F16185" w:rsidP="00B435E8">
            <w:pPr>
              <w:spacing w:after="0" w:line="360" w:lineRule="auto"/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</w:pPr>
            <w:r w:rsidRPr="00F16185">
              <w:rPr>
                <w:rFonts w:ascii="Verdana" w:eastAsia="Times New Roman" w:hAnsi="Verdana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Муниципальная  программа "Обеспечение  доступным и комфортным жильем и коммунальными услугами населения города Кременки" </w:t>
            </w:r>
          </w:p>
        </w:tc>
      </w:tr>
    </w:tbl>
    <w:p w14:paraId="14C1E712" w14:textId="77777777" w:rsidR="00F16185" w:rsidRDefault="00F16185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В 2023 году работающих с  </w:t>
      </w:r>
      <w:r w:rsidRP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неудовлетворительны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м </w:t>
      </w:r>
      <w:r w:rsidRP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 уров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нем </w:t>
      </w:r>
      <w:r w:rsidRPr="00F16185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эффективности 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муниципальных программ не  было. </w:t>
      </w:r>
    </w:p>
    <w:p w14:paraId="02814963" w14:textId="3D0B5401" w:rsidR="00F16185" w:rsidRPr="00F16185" w:rsidRDefault="00F16185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lastRenderedPageBreak/>
        <w:t xml:space="preserve">Детальная расшифровка всех целевых показателей и расчет эффективности приведен в </w:t>
      </w:r>
      <w:hyperlink r:id="rId6" w:history="1">
        <w:r w:rsidRPr="00B435E8">
          <w:rPr>
            <w:rStyle w:val="a5"/>
            <w:rFonts w:ascii="Verdana" w:eastAsia="Times New Roman" w:hAnsi="Verdana" w:cs="Arial"/>
            <w:sz w:val="24"/>
            <w:szCs w:val="24"/>
            <w:lang w:eastAsia="ru-RU"/>
          </w:rPr>
          <w:t>приложении</w:t>
        </w:r>
      </w:hyperlink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.  </w:t>
      </w:r>
    </w:p>
    <w:p w14:paraId="43018C77" w14:textId="3F3BDA49" w:rsidR="00C20E8C" w:rsidRDefault="00C20E8C" w:rsidP="00B435E8">
      <w:pPr>
        <w:spacing w:before="195" w:after="195" w:line="360" w:lineRule="auto"/>
        <w:ind w:firstLine="567"/>
        <w:jc w:val="both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 </w:t>
      </w:r>
    </w:p>
    <w:p w14:paraId="4CA823A3" w14:textId="77777777" w:rsidR="007258BC" w:rsidRPr="00266125" w:rsidRDefault="007258BC" w:rsidP="00B435E8">
      <w:pPr>
        <w:spacing w:before="195" w:after="195" w:line="36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7258BC" w:rsidRPr="00266125" w:rsidSect="00B435E8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2A"/>
    <w:rsid w:val="00012D14"/>
    <w:rsid w:val="000200B6"/>
    <w:rsid w:val="000402C1"/>
    <w:rsid w:val="00060620"/>
    <w:rsid w:val="00084A73"/>
    <w:rsid w:val="00124699"/>
    <w:rsid w:val="0018440A"/>
    <w:rsid w:val="001A093F"/>
    <w:rsid w:val="001D0805"/>
    <w:rsid w:val="001D1868"/>
    <w:rsid w:val="001D530C"/>
    <w:rsid w:val="001F06DC"/>
    <w:rsid w:val="001F37A1"/>
    <w:rsid w:val="00222F68"/>
    <w:rsid w:val="00224670"/>
    <w:rsid w:val="00266125"/>
    <w:rsid w:val="002C5061"/>
    <w:rsid w:val="00316AC5"/>
    <w:rsid w:val="003303CB"/>
    <w:rsid w:val="003509C6"/>
    <w:rsid w:val="003514CE"/>
    <w:rsid w:val="00371396"/>
    <w:rsid w:val="003A3A38"/>
    <w:rsid w:val="003E6B0A"/>
    <w:rsid w:val="003F4793"/>
    <w:rsid w:val="00447C6B"/>
    <w:rsid w:val="00463C25"/>
    <w:rsid w:val="004976E6"/>
    <w:rsid w:val="004A31D1"/>
    <w:rsid w:val="004E496D"/>
    <w:rsid w:val="004E5F72"/>
    <w:rsid w:val="004F0B50"/>
    <w:rsid w:val="00565326"/>
    <w:rsid w:val="00572A1C"/>
    <w:rsid w:val="005D4446"/>
    <w:rsid w:val="005F3EFD"/>
    <w:rsid w:val="00634702"/>
    <w:rsid w:val="0067400D"/>
    <w:rsid w:val="006C7D37"/>
    <w:rsid w:val="006D4EB6"/>
    <w:rsid w:val="00725622"/>
    <w:rsid w:val="007258BC"/>
    <w:rsid w:val="00735A72"/>
    <w:rsid w:val="0075052A"/>
    <w:rsid w:val="0076089F"/>
    <w:rsid w:val="007A7239"/>
    <w:rsid w:val="007C7FB9"/>
    <w:rsid w:val="00841024"/>
    <w:rsid w:val="008422E5"/>
    <w:rsid w:val="009228D8"/>
    <w:rsid w:val="00A41A7D"/>
    <w:rsid w:val="00A6117B"/>
    <w:rsid w:val="00AF417C"/>
    <w:rsid w:val="00B053E8"/>
    <w:rsid w:val="00B116B8"/>
    <w:rsid w:val="00B30971"/>
    <w:rsid w:val="00B41999"/>
    <w:rsid w:val="00B435E8"/>
    <w:rsid w:val="00B52F19"/>
    <w:rsid w:val="00B92AE0"/>
    <w:rsid w:val="00B9445C"/>
    <w:rsid w:val="00BC3F42"/>
    <w:rsid w:val="00BD0113"/>
    <w:rsid w:val="00C20E8C"/>
    <w:rsid w:val="00C6274A"/>
    <w:rsid w:val="00C646F8"/>
    <w:rsid w:val="00C771F7"/>
    <w:rsid w:val="00C97AE5"/>
    <w:rsid w:val="00CB0871"/>
    <w:rsid w:val="00CD4419"/>
    <w:rsid w:val="00CE5E80"/>
    <w:rsid w:val="00D96ECB"/>
    <w:rsid w:val="00DD39F1"/>
    <w:rsid w:val="00DE5BAC"/>
    <w:rsid w:val="00E43CCC"/>
    <w:rsid w:val="00E812B6"/>
    <w:rsid w:val="00EA03A6"/>
    <w:rsid w:val="00F07EE9"/>
    <w:rsid w:val="00F16185"/>
    <w:rsid w:val="00F37881"/>
    <w:rsid w:val="00F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93D5"/>
  <w15:chartTrackingRefBased/>
  <w15:docId w15:val="{004A5AB4-54E9-49C8-A8D3-028E9778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435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35E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43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-kremenki.ru/programm.html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rgbClr val="303C18"/>
                </a:solidFill>
              </a:defRPr>
            </a:pPr>
            <a:r>
              <a:rPr lang="ru-RU" sz="1400" dirty="0">
                <a:solidFill>
                  <a:srgbClr val="303C18"/>
                </a:solidFill>
              </a:rPr>
              <a:t>Расходы бюджета на финансирование муниципальных программ  ГП"Город Кремёнки"  в 2023 г. </a:t>
            </a:r>
          </a:p>
        </c:rich>
      </c:tx>
      <c:layout>
        <c:manualLayout>
          <c:xMode val="edge"/>
          <c:yMode val="edge"/>
          <c:x val="8.5380350183499834E-2"/>
          <c:y val="1.2953426126511779E-2"/>
        </c:manualLayout>
      </c:layout>
      <c:overlay val="0"/>
    </c:title>
    <c:autoTitleDeleted val="0"/>
    <c:view3D>
      <c:rotX val="-90"/>
      <c:rotY val="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10322743743153"/>
          <c:y val="0.15633571194225721"/>
          <c:w val="0.48256222584190989"/>
          <c:h val="0.79158095472440948"/>
        </c:manualLayout>
      </c:layout>
      <c:bar3DChart>
        <c:barDir val="bar"/>
        <c:grouping val="clustered"/>
        <c:varyColors val="1"/>
        <c:ser>
          <c:idx val="0"/>
          <c:order val="0"/>
          <c:invertIfNegative val="0"/>
          <c:dLbls>
            <c:dLbl>
              <c:idx val="0"/>
              <c:layout>
                <c:manualLayout>
                  <c:x val="2.7767257116751012E-2"/>
                  <c:y val="-6.4766828368414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28-4414-AAB8-D2CA51EE28C6}"/>
                </c:ext>
              </c:extLst>
            </c:dLbl>
            <c:dLbl>
              <c:idx val="1"/>
              <c:layout>
                <c:manualLayout>
                  <c:x val="2.271866491370535E-2"/>
                  <c:y val="-1.2953365673682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28-4414-AAB8-D2CA51EE28C6}"/>
                </c:ext>
              </c:extLst>
            </c:dLbl>
            <c:dLbl>
              <c:idx val="2"/>
              <c:layout>
                <c:manualLayout>
                  <c:x val="1.8932220761421127E-2"/>
                  <c:y val="-1.2953365673682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28-4414-AAB8-D2CA51EE28C6}"/>
                </c:ext>
              </c:extLst>
            </c:dLbl>
            <c:dLbl>
              <c:idx val="3"/>
              <c:layout>
                <c:manualLayout>
                  <c:x val="1.38836285583755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28-4414-AAB8-D2CA51EE28C6}"/>
                </c:ext>
              </c:extLst>
            </c:dLbl>
            <c:dLbl>
              <c:idx val="4"/>
              <c:layout>
                <c:manualLayout>
                  <c:x val="1.89322207614211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28-4414-AAB8-D2CA51EE28C6}"/>
                </c:ext>
              </c:extLst>
            </c:dLbl>
            <c:dLbl>
              <c:idx val="5"/>
              <c:layout>
                <c:manualLayout>
                  <c:x val="2.6505109065989692E-2"/>
                  <c:y val="-2.15889427894717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28-4414-AAB8-D2CA51EE28C6}"/>
                </c:ext>
              </c:extLst>
            </c:dLbl>
            <c:dLbl>
              <c:idx val="6"/>
              <c:layout>
                <c:manualLayout>
                  <c:x val="1.6407924659898366E-2"/>
                  <c:y val="-8.63557711578857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28-4414-AAB8-D2CA51EE28C6}"/>
                </c:ext>
              </c:extLst>
            </c:dLbl>
            <c:dLbl>
              <c:idx val="7"/>
              <c:layout>
                <c:manualLayout>
                  <c:x val="1.51457766091369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28-4414-AAB8-D2CA51EE28C6}"/>
                </c:ext>
              </c:extLst>
            </c:dLbl>
            <c:dLbl>
              <c:idx val="8"/>
              <c:layout>
                <c:manualLayout>
                  <c:x val="2.3980812964466802E-2"/>
                  <c:y val="-1.511225995263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28-4414-AAB8-D2CA51EE28C6}"/>
                </c:ext>
              </c:extLst>
            </c:dLbl>
            <c:dLbl>
              <c:idx val="9"/>
              <c:layout>
                <c:manualLayout>
                  <c:x val="1.2621480507614085E-2"/>
                  <c:y val="-6.4766828368414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28-4414-AAB8-D2CA51EE28C6}"/>
                </c:ext>
              </c:extLst>
            </c:dLbl>
            <c:dLbl>
              <c:idx val="10"/>
              <c:layout>
                <c:manualLayout>
                  <c:x val="1.2194058914587481E-2"/>
                  <c:y val="-1.2484228624287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28-4414-AAB8-D2CA51EE28C6}"/>
                </c:ext>
              </c:extLst>
            </c:dLbl>
            <c:dLbl>
              <c:idx val="11"/>
              <c:layout>
                <c:manualLayout>
                  <c:x val="1.0452050498217867E-2"/>
                  <c:y val="-2.0807320769097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28-4414-AAB8-D2CA51EE28C6}"/>
                </c:ext>
              </c:extLst>
            </c:dLbl>
            <c:dLbl>
              <c:idx val="12"/>
              <c:layout>
                <c:manualLayout>
                  <c:x val="1.30650631227722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28-4414-AAB8-D2CA51EE28C6}"/>
                </c:ext>
              </c:extLst>
            </c:dLbl>
            <c:dLbl>
              <c:idx val="13"/>
              <c:layout>
                <c:manualLayout>
                  <c:x val="1.3936067330957137E-2"/>
                  <c:y val="2.0807320769097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E28-4414-AAB8-D2CA51EE28C6}"/>
                </c:ext>
              </c:extLst>
            </c:dLbl>
            <c:dLbl>
              <c:idx val="14"/>
              <c:layout>
                <c:manualLayout>
                  <c:x val="1.5678075747326783E-2"/>
                  <c:y val="2.0807320769097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E28-4414-AAB8-D2CA51EE28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'программы прав'!$B$3:$B$17</c:f>
              <c:strCache>
                <c:ptCount val="15"/>
                <c:pt idx="0">
                  <c:v>«Развитие культуры городского поселения "Город Кременки"</c:v>
                </c:pt>
                <c:pt idx="1">
                  <c:v> "Совершенствование системы муниципального управления и создание условий муниципальной службы в ГП "Город Кременки"</c:v>
                </c:pt>
                <c:pt idx="2">
                  <c:v>  «Развитие дорожного хозяйства  ГП «Город Кремёнки»</c:v>
                </c:pt>
                <c:pt idx="3">
                  <c:v>«Развитие физической культуры и спорта городского поселения «Город Кременки» </c:v>
                </c:pt>
                <c:pt idx="4">
                  <c:v> "Благоустройство территории городского поселения  "Город Кременки" </c:v>
                </c:pt>
                <c:pt idx="5">
                  <c:v>"Формирование современной городской среды" </c:v>
                </c:pt>
                <c:pt idx="6">
                  <c:v> "Кадровая политика  ГП "Город Кременки"</c:v>
                </c:pt>
                <c:pt idx="7">
                  <c:v>"Энергосбережение и повышение энергоэффективности  ГП "Город Кременки" </c:v>
                </c:pt>
                <c:pt idx="8">
                  <c:v>«Совершенствование системы управления общественными финансами городского поселения «Город Кременки»» </c:v>
                </c:pt>
                <c:pt idx="9">
                  <c:v> "Безопасность жизнедеятельности на территории городского поселения "Город Кременки""</c:v>
                </c:pt>
                <c:pt idx="10">
                  <c:v>"Социальная поддержка граждан городского поселения "Город Кременки"</c:v>
                </c:pt>
                <c:pt idx="11">
                  <c:v> "Обеспечение  доступным и комфортным жильем и коммунальными услугами населения города Кременки" </c:v>
                </c:pt>
                <c:pt idx="12">
                  <c:v> "Патриотическое воспитание населения г. Кременки Калужской области и подготовка граждан к военной службе"</c:v>
                </c:pt>
                <c:pt idx="13">
                  <c:v> "Управление имущественным комплексом ГП "Город Кременки"</c:v>
                </c:pt>
                <c:pt idx="14">
                  <c:v> "Развитие рынка труда"</c:v>
                </c:pt>
              </c:strCache>
            </c:strRef>
          </c:cat>
          <c:val>
            <c:numRef>
              <c:f>'программы прав'!$C$3:$C$17</c:f>
              <c:numCache>
                <c:formatCode>#\ ##0.0</c:formatCode>
                <c:ptCount val="15"/>
                <c:pt idx="0">
                  <c:v>20689.171999999999</c:v>
                </c:pt>
                <c:pt idx="1">
                  <c:v>17938.849030000001</c:v>
                </c:pt>
                <c:pt idx="2">
                  <c:v>15075.480720000001</c:v>
                </c:pt>
                <c:pt idx="3">
                  <c:v>8083.1809999999996</c:v>
                </c:pt>
                <c:pt idx="4">
                  <c:v>7331.4672300000002</c:v>
                </c:pt>
                <c:pt idx="5">
                  <c:v>7152.4479299999994</c:v>
                </c:pt>
                <c:pt idx="6">
                  <c:v>5632.9516700000004</c:v>
                </c:pt>
                <c:pt idx="7">
                  <c:v>4819.79054</c:v>
                </c:pt>
                <c:pt idx="8">
                  <c:v>2858.9425699999997</c:v>
                </c:pt>
                <c:pt idx="9">
                  <c:v>659.55650000000003</c:v>
                </c:pt>
                <c:pt idx="10">
                  <c:v>549.59778000000006</c:v>
                </c:pt>
                <c:pt idx="11">
                  <c:v>446.61041999999998</c:v>
                </c:pt>
                <c:pt idx="12">
                  <c:v>90</c:v>
                </c:pt>
                <c:pt idx="13">
                  <c:v>31.54</c:v>
                </c:pt>
                <c:pt idx="14">
                  <c:v>24.67164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E28-4414-AAB8-D2CA51EE28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9"/>
        <c:gapDepth val="0"/>
        <c:shape val="cylinder"/>
        <c:axId val="105563648"/>
        <c:axId val="105565184"/>
        <c:axId val="0"/>
      </c:bar3DChart>
      <c:catAx>
        <c:axId val="10556364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700" b="1">
                <a:solidFill>
                  <a:schemeClr val="accent1">
                    <a:lumMod val="50000"/>
                  </a:schemeClr>
                </a:solidFill>
              </a:defRPr>
            </a:pPr>
            <a:endParaRPr lang="ru-RU"/>
          </a:p>
        </c:txPr>
        <c:crossAx val="105565184"/>
        <c:crosses val="autoZero"/>
        <c:auto val="1"/>
        <c:lblAlgn val="ctr"/>
        <c:lblOffset val="100"/>
        <c:noMultiLvlLbl val="0"/>
      </c:catAx>
      <c:valAx>
        <c:axId val="105565184"/>
        <c:scaling>
          <c:orientation val="minMax"/>
        </c:scaling>
        <c:delete val="1"/>
        <c:axPos val="t"/>
        <c:numFmt formatCode="#\ ##0.0" sourceLinked="1"/>
        <c:majorTickMark val="none"/>
        <c:minorTickMark val="none"/>
        <c:tickLblPos val="none"/>
        <c:crossAx val="105563648"/>
        <c:crosses val="autoZero"/>
        <c:crossBetween val="between"/>
      </c:valAx>
      <c:spPr>
        <a:scene3d>
          <a:camera prst="orthographicFront"/>
          <a:lightRig rig="threePt" dir="t"/>
        </a:scene3d>
        <a:sp3d prstMaterial="dkEdge"/>
      </c:spPr>
    </c:plotArea>
    <c:plotVisOnly val="1"/>
    <c:dispBlanksAs val="gap"/>
    <c:showDLblsOverMax val="0"/>
  </c:chart>
  <c:spPr>
    <a:ln>
      <a:solidFill>
        <a:srgbClr val="002060"/>
      </a:solidFill>
    </a:ln>
  </c:spPr>
  <c:txPr>
    <a:bodyPr/>
    <a:lstStyle/>
    <a:p>
      <a:pPr>
        <a:defRPr sz="6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55F73-6C2C-4B24-AFDE-FA826067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2022-01-28T06:51:00Z</cp:lastPrinted>
  <dcterms:created xsi:type="dcterms:W3CDTF">2024-06-18T06:53:00Z</dcterms:created>
  <dcterms:modified xsi:type="dcterms:W3CDTF">2024-06-20T06:32:00Z</dcterms:modified>
</cp:coreProperties>
</file>